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94" w:rsidRPr="00053E68" w:rsidRDefault="007C159B" w:rsidP="001D7CAF">
      <w:pPr>
        <w:pStyle w:val="Default"/>
        <w:jc w:val="center"/>
        <w:rPr>
          <w:rFonts w:ascii="Arial" w:hAnsi="Arial" w:cs="Arial"/>
          <w:b/>
          <w:color w:val="1F1F1F"/>
          <w:lang w:val="en-US"/>
        </w:rPr>
      </w:pPr>
      <w:r w:rsidRPr="00053E68">
        <w:rPr>
          <w:rFonts w:ascii="Arial" w:hAnsi="Arial" w:cs="Arial"/>
          <w:b/>
          <w:color w:val="1F1F1F"/>
          <w:lang w:val="en-US"/>
        </w:rPr>
        <w:t>Analysis of poverty risk of older people</w:t>
      </w:r>
      <w:r w:rsidR="00193256" w:rsidRPr="00053E68">
        <w:rPr>
          <w:rFonts w:ascii="Arial" w:hAnsi="Arial" w:cs="Arial"/>
          <w:b/>
          <w:color w:val="1F1F1F"/>
          <w:lang w:val="en-US"/>
        </w:rPr>
        <w:t xml:space="preserve"> </w:t>
      </w:r>
      <w:r w:rsidRPr="00053E68">
        <w:rPr>
          <w:rFonts w:ascii="Arial" w:hAnsi="Arial" w:cs="Arial"/>
          <w:b/>
          <w:color w:val="1F1F1F"/>
          <w:lang w:val="en-US"/>
        </w:rPr>
        <w:t>in Spain</w:t>
      </w:r>
    </w:p>
    <w:p w:rsidR="00165B94" w:rsidRPr="00053E68" w:rsidRDefault="00165B94" w:rsidP="001D7CAF">
      <w:pPr>
        <w:pStyle w:val="Default"/>
        <w:rPr>
          <w:rFonts w:ascii="Arial" w:hAnsi="Arial" w:cs="Arial"/>
          <w:color w:val="1F1F1F"/>
          <w:lang w:val="en-US"/>
        </w:rPr>
      </w:pPr>
    </w:p>
    <w:p w:rsidR="00165B94" w:rsidRPr="00053E68" w:rsidRDefault="00165B94" w:rsidP="001D7CAF">
      <w:pPr>
        <w:pStyle w:val="Default"/>
        <w:jc w:val="right"/>
        <w:rPr>
          <w:rFonts w:ascii="Arial" w:hAnsi="Arial" w:cs="Arial"/>
          <w:color w:val="1F1F1F"/>
        </w:rPr>
      </w:pPr>
      <w:r w:rsidRPr="00053E68">
        <w:rPr>
          <w:rFonts w:ascii="Arial" w:hAnsi="Arial" w:cs="Arial"/>
          <w:color w:val="1F1F1F"/>
        </w:rPr>
        <w:t>Sonia de Paz Cobo</w:t>
      </w:r>
      <w:r w:rsidR="007C159B" w:rsidRPr="00053E68">
        <w:rPr>
          <w:rFonts w:ascii="Arial" w:hAnsi="Arial" w:cs="Arial"/>
          <w:color w:val="1F1F1F"/>
        </w:rPr>
        <w:t>*, Juan Manuel López Zafra**</w:t>
      </w:r>
    </w:p>
    <w:p w:rsidR="007C159B" w:rsidRPr="00053E68" w:rsidRDefault="007C159B" w:rsidP="001D7CAF">
      <w:pPr>
        <w:pStyle w:val="Default"/>
        <w:jc w:val="right"/>
        <w:rPr>
          <w:rFonts w:ascii="Arial" w:hAnsi="Arial" w:cs="Arial"/>
          <w:color w:val="1F1F1F"/>
        </w:rPr>
      </w:pPr>
      <w:r w:rsidRPr="00053E68">
        <w:rPr>
          <w:rFonts w:ascii="Arial" w:hAnsi="Arial" w:cs="Arial"/>
          <w:color w:val="1F1F1F"/>
        </w:rPr>
        <w:t>*</w:t>
      </w:r>
      <w:r w:rsidR="00165B94" w:rsidRPr="00053E68">
        <w:rPr>
          <w:rFonts w:ascii="Arial" w:hAnsi="Arial" w:cs="Arial"/>
          <w:color w:val="1F1F1F"/>
        </w:rPr>
        <w:t>Universidad Rey Juan Carlos,</w:t>
      </w:r>
    </w:p>
    <w:p w:rsidR="00E34547" w:rsidRPr="00053E68" w:rsidRDefault="00165B94" w:rsidP="001D7CAF">
      <w:pPr>
        <w:pStyle w:val="Default"/>
        <w:jc w:val="right"/>
        <w:rPr>
          <w:rFonts w:ascii="Arial" w:hAnsi="Arial" w:cs="Arial"/>
          <w:color w:val="1F1F1F"/>
        </w:rPr>
      </w:pPr>
      <w:r w:rsidRPr="00053E68">
        <w:rPr>
          <w:rFonts w:ascii="Arial" w:hAnsi="Arial" w:cs="Arial"/>
          <w:color w:val="1F1F1F"/>
        </w:rPr>
        <w:t xml:space="preserve"> </w:t>
      </w:r>
      <w:r w:rsidR="00E34547">
        <w:rPr>
          <w:rFonts w:ascii="Arial" w:hAnsi="Arial" w:cs="Arial"/>
          <w:color w:val="1F1F1F"/>
        </w:rPr>
        <w:t>sonia.depaz@urjc.es</w:t>
      </w:r>
    </w:p>
    <w:p w:rsidR="007C159B" w:rsidRPr="00053E68" w:rsidRDefault="007C159B" w:rsidP="001D7CAF">
      <w:pPr>
        <w:pStyle w:val="Default"/>
        <w:jc w:val="right"/>
        <w:rPr>
          <w:rFonts w:ascii="Arial" w:hAnsi="Arial" w:cs="Arial"/>
          <w:color w:val="1F1F1F"/>
        </w:rPr>
      </w:pPr>
      <w:r w:rsidRPr="00053E68">
        <w:rPr>
          <w:rFonts w:ascii="Arial" w:hAnsi="Arial" w:cs="Arial"/>
          <w:color w:val="1F1F1F"/>
        </w:rPr>
        <w:t>** Colegio universitario de Estudios Financieros (CUNEF)</w:t>
      </w:r>
    </w:p>
    <w:p w:rsidR="00E34547" w:rsidRPr="00053E68" w:rsidRDefault="009F570A" w:rsidP="001D7CAF">
      <w:pPr>
        <w:pStyle w:val="Default"/>
        <w:jc w:val="right"/>
        <w:rPr>
          <w:rFonts w:ascii="Arial" w:hAnsi="Arial" w:cs="Arial"/>
          <w:color w:val="1F1F1F"/>
        </w:rPr>
      </w:pPr>
      <w:r>
        <w:rPr>
          <w:rFonts w:ascii="Arial" w:hAnsi="Arial" w:cs="Arial"/>
          <w:color w:val="1F1F1F"/>
        </w:rPr>
        <w:t>jmlopezzafra@cunef.edu</w:t>
      </w:r>
      <w:r w:rsidR="00E125DC">
        <w:rPr>
          <w:rFonts w:ascii="Arial" w:hAnsi="Arial" w:cs="Arial"/>
          <w:color w:val="1F1F1F"/>
        </w:rPr>
        <w:t xml:space="preserve"> </w:t>
      </w:r>
    </w:p>
    <w:p w:rsidR="00165B94" w:rsidRPr="00053E68" w:rsidRDefault="00165B94" w:rsidP="001D7CAF">
      <w:pPr>
        <w:pStyle w:val="Default"/>
        <w:rPr>
          <w:rFonts w:ascii="Arial" w:hAnsi="Arial" w:cs="Arial"/>
          <w:color w:val="1F1F1F"/>
        </w:rPr>
      </w:pPr>
    </w:p>
    <w:p w:rsidR="00165B94" w:rsidRPr="00053E68" w:rsidRDefault="00165B94" w:rsidP="001D7CAF">
      <w:pPr>
        <w:pStyle w:val="Default"/>
        <w:rPr>
          <w:rFonts w:ascii="Arial" w:hAnsi="Arial" w:cs="Arial"/>
          <w:color w:val="1F1F1F"/>
        </w:rPr>
      </w:pPr>
    </w:p>
    <w:p w:rsidR="00165B94" w:rsidRPr="00053E68" w:rsidRDefault="00165B94" w:rsidP="001D7CAF">
      <w:pPr>
        <w:pStyle w:val="Default"/>
        <w:rPr>
          <w:rFonts w:ascii="Arial" w:hAnsi="Arial" w:cs="Arial"/>
          <w:color w:val="1F1F1F"/>
        </w:rPr>
      </w:pPr>
      <w:r w:rsidRPr="00053E68">
        <w:rPr>
          <w:rFonts w:ascii="Arial" w:hAnsi="Arial" w:cs="Arial"/>
          <w:color w:val="1F1F1F"/>
        </w:rPr>
        <w:t>RESUMEN</w:t>
      </w:r>
    </w:p>
    <w:p w:rsidR="00BF6383" w:rsidRPr="00F06BDB" w:rsidRDefault="00BF6383" w:rsidP="00BF6383">
      <w:pPr>
        <w:pStyle w:val="Indentado1"/>
        <w:tabs>
          <w:tab w:val="num" w:pos="0"/>
        </w:tabs>
        <w:spacing w:line="276" w:lineRule="auto"/>
        <w:ind w:left="0"/>
        <w:rPr>
          <w:rFonts w:ascii="Arial" w:hAnsi="Arial" w:cs="Arial"/>
          <w:sz w:val="24"/>
          <w:szCs w:val="24"/>
        </w:rPr>
      </w:pPr>
      <w:r w:rsidRPr="00F06BDB">
        <w:rPr>
          <w:rFonts w:ascii="Arial" w:hAnsi="Arial" w:cs="Arial"/>
          <w:sz w:val="24"/>
          <w:szCs w:val="24"/>
        </w:rPr>
        <w:t>Las desigualdades de los ingresos de la población de mayores en España depende</w:t>
      </w:r>
      <w:r>
        <w:rPr>
          <w:rFonts w:ascii="Arial" w:hAnsi="Arial" w:cs="Arial"/>
          <w:sz w:val="24"/>
          <w:szCs w:val="24"/>
        </w:rPr>
        <w:t>n</w:t>
      </w:r>
      <w:r w:rsidRPr="00F06BDB">
        <w:rPr>
          <w:rFonts w:ascii="Arial" w:hAnsi="Arial" w:cs="Arial"/>
          <w:sz w:val="24"/>
          <w:szCs w:val="24"/>
        </w:rPr>
        <w:t xml:space="preserve"> de </w:t>
      </w:r>
      <w:r w:rsidR="005252EE">
        <w:rPr>
          <w:rFonts w:ascii="Arial" w:hAnsi="Arial" w:cs="Arial"/>
          <w:sz w:val="24"/>
          <w:szCs w:val="24"/>
        </w:rPr>
        <w:t>diversos</w:t>
      </w:r>
      <w:r w:rsidRPr="00F06BDB">
        <w:rPr>
          <w:rFonts w:ascii="Arial" w:hAnsi="Arial" w:cs="Arial"/>
          <w:sz w:val="24"/>
          <w:szCs w:val="24"/>
        </w:rPr>
        <w:t xml:space="preserve"> factores como son la situación del  mercado de laboral, el </w:t>
      </w:r>
      <w:r>
        <w:rPr>
          <w:rFonts w:ascii="Arial" w:hAnsi="Arial" w:cs="Arial"/>
          <w:sz w:val="24"/>
          <w:szCs w:val="24"/>
        </w:rPr>
        <w:t>modelo</w:t>
      </w:r>
      <w:r w:rsidRPr="00F06BDB">
        <w:rPr>
          <w:rFonts w:ascii="Arial" w:hAnsi="Arial" w:cs="Arial"/>
          <w:sz w:val="24"/>
          <w:szCs w:val="24"/>
        </w:rPr>
        <w:t xml:space="preserve"> de Estado de bienestar, o las fuentes de ingresos </w:t>
      </w:r>
      <w:r>
        <w:rPr>
          <w:rFonts w:ascii="Arial" w:hAnsi="Arial" w:cs="Arial"/>
          <w:sz w:val="24"/>
          <w:szCs w:val="24"/>
        </w:rPr>
        <w:t xml:space="preserve"> alternativos, </w:t>
      </w:r>
      <w:r w:rsidRPr="00F06BDB">
        <w:rPr>
          <w:rFonts w:ascii="Arial" w:hAnsi="Arial" w:cs="Arial"/>
          <w:sz w:val="24"/>
          <w:szCs w:val="24"/>
        </w:rPr>
        <w:t>si bien</w:t>
      </w:r>
      <w:r>
        <w:rPr>
          <w:rFonts w:ascii="Arial" w:hAnsi="Arial" w:cs="Arial"/>
          <w:sz w:val="24"/>
          <w:szCs w:val="24"/>
        </w:rPr>
        <w:t>,</w:t>
      </w:r>
      <w:r w:rsidRPr="00F06BDB">
        <w:rPr>
          <w:rFonts w:ascii="Arial" w:hAnsi="Arial" w:cs="Arial"/>
          <w:sz w:val="24"/>
          <w:szCs w:val="24"/>
        </w:rPr>
        <w:t xml:space="preserve"> en promedio, el ingreso de la población de mayor edad está distribuido más equitativamente que el del resto de la población.</w:t>
      </w:r>
    </w:p>
    <w:p w:rsidR="00BF6383" w:rsidRPr="00F06BDB" w:rsidRDefault="00BF6383" w:rsidP="00BF6383">
      <w:pPr>
        <w:pStyle w:val="Indentado1"/>
        <w:tabs>
          <w:tab w:val="num" w:pos="0"/>
        </w:tabs>
        <w:spacing w:line="276" w:lineRule="auto"/>
        <w:ind w:left="0"/>
        <w:rPr>
          <w:rFonts w:ascii="Arial" w:hAnsi="Arial" w:cs="Arial"/>
          <w:sz w:val="24"/>
          <w:szCs w:val="24"/>
        </w:rPr>
      </w:pPr>
    </w:p>
    <w:p w:rsidR="005252EE" w:rsidRDefault="00BF6383" w:rsidP="005252EE">
      <w:pPr>
        <w:pStyle w:val="Indentado1"/>
        <w:tabs>
          <w:tab w:val="num" w:pos="0"/>
        </w:tabs>
        <w:spacing w:line="276" w:lineRule="auto"/>
        <w:ind w:left="0"/>
        <w:rPr>
          <w:rFonts w:ascii="Arial" w:hAnsi="Arial" w:cs="Arial"/>
          <w:sz w:val="24"/>
          <w:szCs w:val="24"/>
        </w:rPr>
      </w:pPr>
      <w:r w:rsidRPr="00F06BDB">
        <w:rPr>
          <w:rFonts w:ascii="Arial" w:hAnsi="Arial" w:cs="Arial"/>
          <w:sz w:val="24"/>
          <w:szCs w:val="24"/>
        </w:rPr>
        <w:t xml:space="preserve">Así, los ingresos después de la jubilación pueden obtenerse de varias fuentes, pudiendo destacar por </w:t>
      </w:r>
      <w:r>
        <w:rPr>
          <w:rFonts w:ascii="Arial" w:hAnsi="Arial" w:cs="Arial"/>
          <w:sz w:val="24"/>
          <w:szCs w:val="24"/>
        </w:rPr>
        <w:t xml:space="preserve">orden de </w:t>
      </w:r>
      <w:r w:rsidRPr="00F06BDB">
        <w:rPr>
          <w:rFonts w:ascii="Arial" w:hAnsi="Arial" w:cs="Arial"/>
          <w:sz w:val="24"/>
          <w:szCs w:val="24"/>
        </w:rPr>
        <w:t xml:space="preserve">importancia las pensiones públicas, las pensiones complementarias, </w:t>
      </w:r>
      <w:r>
        <w:rPr>
          <w:rFonts w:ascii="Arial" w:hAnsi="Arial" w:cs="Arial"/>
          <w:sz w:val="24"/>
          <w:szCs w:val="24"/>
        </w:rPr>
        <w:t>los ingresos d</w:t>
      </w:r>
      <w:r w:rsidRPr="00F06BDB">
        <w:rPr>
          <w:rFonts w:ascii="Arial" w:hAnsi="Arial" w:cs="Arial"/>
          <w:sz w:val="24"/>
          <w:szCs w:val="24"/>
        </w:rPr>
        <w:t>el trabajo, o los ahorros, entre otras. En general</w:t>
      </w:r>
      <w:r>
        <w:rPr>
          <w:rFonts w:ascii="Arial" w:hAnsi="Arial" w:cs="Arial"/>
          <w:sz w:val="24"/>
          <w:szCs w:val="24"/>
        </w:rPr>
        <w:t>,</w:t>
      </w:r>
      <w:r w:rsidRPr="00F06BDB">
        <w:rPr>
          <w:rFonts w:ascii="Arial" w:hAnsi="Arial" w:cs="Arial"/>
          <w:sz w:val="24"/>
          <w:szCs w:val="24"/>
        </w:rPr>
        <w:t xml:space="preserve"> las pensiones públicas suponen alrededor del 60% de los ingreso</w:t>
      </w:r>
      <w:r>
        <w:rPr>
          <w:rFonts w:ascii="Arial" w:hAnsi="Arial" w:cs="Arial"/>
          <w:sz w:val="24"/>
          <w:szCs w:val="24"/>
        </w:rPr>
        <w:t xml:space="preserve">s de los mayores de 65 años </w:t>
      </w:r>
      <w:r w:rsidRPr="00F06BDB">
        <w:rPr>
          <w:rFonts w:ascii="Arial" w:hAnsi="Arial" w:cs="Arial"/>
          <w:sz w:val="24"/>
          <w:szCs w:val="24"/>
        </w:rPr>
        <w:t>si bien existen diferencias destacables entre los Estados Miembros de la Unión Europea</w:t>
      </w:r>
      <w:r w:rsidR="005252EE">
        <w:rPr>
          <w:rFonts w:ascii="Arial" w:hAnsi="Arial" w:cs="Arial"/>
          <w:sz w:val="24"/>
          <w:szCs w:val="24"/>
        </w:rPr>
        <w:t xml:space="preserve">, siendo una de las tres prioridades de la Unión Europea para el necesario crecimiento </w:t>
      </w:r>
      <w:r w:rsidR="005252EE" w:rsidRPr="00F06BDB">
        <w:rPr>
          <w:rFonts w:ascii="Arial" w:hAnsi="Arial" w:cs="Arial"/>
          <w:sz w:val="24"/>
          <w:szCs w:val="24"/>
        </w:rPr>
        <w:t>integrador</w:t>
      </w:r>
      <w:r w:rsidR="001F4DB5">
        <w:rPr>
          <w:rFonts w:ascii="Arial" w:hAnsi="Arial" w:cs="Arial"/>
          <w:sz w:val="24"/>
          <w:szCs w:val="24"/>
        </w:rPr>
        <w:t>,</w:t>
      </w:r>
      <w:r w:rsidR="005252EE">
        <w:rPr>
          <w:rFonts w:ascii="Arial" w:hAnsi="Arial" w:cs="Arial"/>
          <w:sz w:val="24"/>
          <w:szCs w:val="24"/>
        </w:rPr>
        <w:t xml:space="preserve"> el </w:t>
      </w:r>
      <w:r w:rsidR="005252EE" w:rsidRPr="00F06BDB">
        <w:rPr>
          <w:rFonts w:ascii="Arial" w:hAnsi="Arial" w:cs="Arial"/>
          <w:sz w:val="24"/>
          <w:szCs w:val="24"/>
        </w:rPr>
        <w:t xml:space="preserve">fomento de una economía con alto nivel de empleo </w:t>
      </w:r>
      <w:r w:rsidR="005252EE">
        <w:rPr>
          <w:rFonts w:ascii="Arial" w:hAnsi="Arial" w:cs="Arial"/>
          <w:sz w:val="24"/>
          <w:szCs w:val="24"/>
        </w:rPr>
        <w:t xml:space="preserve">y </w:t>
      </w:r>
      <w:r w:rsidR="005252EE" w:rsidRPr="00F06BDB">
        <w:rPr>
          <w:rFonts w:ascii="Arial" w:hAnsi="Arial" w:cs="Arial"/>
          <w:sz w:val="24"/>
          <w:szCs w:val="24"/>
        </w:rPr>
        <w:t xml:space="preserve">cohesión </w:t>
      </w:r>
      <w:r w:rsidR="005252EE">
        <w:rPr>
          <w:rFonts w:ascii="Arial" w:hAnsi="Arial" w:cs="Arial"/>
          <w:sz w:val="24"/>
          <w:szCs w:val="24"/>
        </w:rPr>
        <w:t xml:space="preserve">tanto </w:t>
      </w:r>
      <w:r w:rsidR="005252EE" w:rsidRPr="00F06BDB">
        <w:rPr>
          <w:rFonts w:ascii="Arial" w:hAnsi="Arial" w:cs="Arial"/>
          <w:sz w:val="24"/>
          <w:szCs w:val="24"/>
        </w:rPr>
        <w:t xml:space="preserve">social </w:t>
      </w:r>
      <w:r w:rsidR="005252EE">
        <w:rPr>
          <w:rFonts w:ascii="Arial" w:hAnsi="Arial" w:cs="Arial"/>
          <w:sz w:val="24"/>
          <w:szCs w:val="24"/>
        </w:rPr>
        <w:t>como</w:t>
      </w:r>
      <w:r w:rsidR="005252EE" w:rsidRPr="00F06BDB">
        <w:rPr>
          <w:rFonts w:ascii="Arial" w:hAnsi="Arial" w:cs="Arial"/>
          <w:sz w:val="24"/>
          <w:szCs w:val="24"/>
        </w:rPr>
        <w:t xml:space="preserve"> territorial.</w:t>
      </w:r>
      <w:r w:rsidR="005252EE">
        <w:rPr>
          <w:rFonts w:ascii="Arial" w:hAnsi="Arial" w:cs="Arial"/>
          <w:sz w:val="24"/>
          <w:szCs w:val="24"/>
        </w:rPr>
        <w:t xml:space="preserve"> A partir de </w:t>
      </w:r>
      <w:r w:rsidR="00202596">
        <w:rPr>
          <w:rFonts w:ascii="Arial" w:hAnsi="Arial" w:cs="Arial"/>
          <w:sz w:val="24"/>
          <w:szCs w:val="24"/>
        </w:rPr>
        <w:t>estas prioridades</w:t>
      </w:r>
      <w:r w:rsidR="005252EE">
        <w:rPr>
          <w:rFonts w:ascii="Arial" w:hAnsi="Arial" w:cs="Arial"/>
          <w:sz w:val="24"/>
          <w:szCs w:val="24"/>
        </w:rPr>
        <w:t xml:space="preserve">, </w:t>
      </w:r>
      <w:r w:rsidR="00303EF5">
        <w:rPr>
          <w:rFonts w:ascii="Arial" w:hAnsi="Arial" w:cs="Arial"/>
          <w:sz w:val="24"/>
          <w:szCs w:val="24"/>
        </w:rPr>
        <w:t>define como objetivo principal</w:t>
      </w:r>
      <w:r w:rsidR="005252EE" w:rsidRPr="00F06BDB">
        <w:rPr>
          <w:rFonts w:ascii="Arial" w:hAnsi="Arial" w:cs="Arial"/>
          <w:sz w:val="24"/>
          <w:szCs w:val="24"/>
        </w:rPr>
        <w:t xml:space="preserve">, entre otros, que el riesgo de pobreza </w:t>
      </w:r>
      <w:r w:rsidR="005252EE">
        <w:rPr>
          <w:rFonts w:ascii="Arial" w:hAnsi="Arial" w:cs="Arial"/>
          <w:sz w:val="24"/>
          <w:szCs w:val="24"/>
        </w:rPr>
        <w:t>sea una amenaza</w:t>
      </w:r>
      <w:r w:rsidR="005252EE" w:rsidRPr="00F06BDB">
        <w:rPr>
          <w:rFonts w:ascii="Arial" w:hAnsi="Arial" w:cs="Arial"/>
          <w:sz w:val="24"/>
          <w:szCs w:val="24"/>
        </w:rPr>
        <w:t xml:space="preserve"> </w:t>
      </w:r>
      <w:r w:rsidR="005252EE">
        <w:rPr>
          <w:rFonts w:ascii="Arial" w:hAnsi="Arial" w:cs="Arial"/>
          <w:sz w:val="24"/>
          <w:szCs w:val="24"/>
        </w:rPr>
        <w:t xml:space="preserve">para </w:t>
      </w:r>
      <w:r w:rsidR="005252EE" w:rsidRPr="00F06BDB">
        <w:rPr>
          <w:rFonts w:ascii="Arial" w:hAnsi="Arial" w:cs="Arial"/>
          <w:sz w:val="24"/>
          <w:szCs w:val="24"/>
        </w:rPr>
        <w:t xml:space="preserve">20 millones de personas menos. Pero la fuerte crisis económica y financiera que en estos momentos está presente en los países </w:t>
      </w:r>
      <w:r w:rsidR="005252EE">
        <w:rPr>
          <w:rFonts w:ascii="Arial" w:hAnsi="Arial" w:cs="Arial"/>
          <w:sz w:val="24"/>
          <w:szCs w:val="24"/>
        </w:rPr>
        <w:t>m</w:t>
      </w:r>
      <w:r w:rsidR="005252EE" w:rsidRPr="00F06BDB">
        <w:rPr>
          <w:rFonts w:ascii="Arial" w:hAnsi="Arial" w:cs="Arial"/>
          <w:sz w:val="24"/>
          <w:szCs w:val="24"/>
        </w:rPr>
        <w:t xml:space="preserve">iembros hace complicado </w:t>
      </w:r>
      <w:r w:rsidR="005252EE">
        <w:rPr>
          <w:rFonts w:ascii="Arial" w:hAnsi="Arial" w:cs="Arial"/>
          <w:sz w:val="24"/>
          <w:szCs w:val="24"/>
        </w:rPr>
        <w:t>alcanzarlos en la actualidad. Se tiene</w:t>
      </w:r>
      <w:r w:rsidR="005252EE" w:rsidRPr="00F06BDB">
        <w:rPr>
          <w:rFonts w:ascii="Arial" w:hAnsi="Arial" w:cs="Arial"/>
          <w:sz w:val="24"/>
          <w:szCs w:val="24"/>
        </w:rPr>
        <w:t xml:space="preserve"> que hacer un esfuerzo</w:t>
      </w:r>
      <w:r w:rsidR="005252EE">
        <w:rPr>
          <w:rFonts w:ascii="Arial" w:hAnsi="Arial" w:cs="Arial"/>
          <w:sz w:val="24"/>
          <w:szCs w:val="24"/>
        </w:rPr>
        <w:t xml:space="preserve"> adicional</w:t>
      </w:r>
      <w:r w:rsidR="005252EE" w:rsidRPr="00F06BDB">
        <w:rPr>
          <w:rFonts w:ascii="Arial" w:hAnsi="Arial" w:cs="Arial"/>
          <w:sz w:val="24"/>
          <w:szCs w:val="24"/>
        </w:rPr>
        <w:t xml:space="preserve"> para conseguirlo.</w:t>
      </w:r>
    </w:p>
    <w:p w:rsidR="00202596" w:rsidRDefault="00202596" w:rsidP="005252EE">
      <w:pPr>
        <w:pStyle w:val="Indentado1"/>
        <w:tabs>
          <w:tab w:val="num" w:pos="0"/>
        </w:tabs>
        <w:spacing w:line="276" w:lineRule="auto"/>
        <w:ind w:left="0"/>
        <w:rPr>
          <w:rFonts w:ascii="Arial" w:hAnsi="Arial" w:cs="Arial"/>
          <w:sz w:val="24"/>
          <w:szCs w:val="24"/>
        </w:rPr>
      </w:pPr>
    </w:p>
    <w:p w:rsidR="00202596" w:rsidRPr="00F06BDB" w:rsidRDefault="00202596" w:rsidP="005252EE">
      <w:pPr>
        <w:pStyle w:val="Indentado1"/>
        <w:tabs>
          <w:tab w:val="num" w:pos="0"/>
        </w:tabs>
        <w:spacing w:line="276" w:lineRule="auto"/>
        <w:ind w:left="0"/>
        <w:rPr>
          <w:sz w:val="24"/>
          <w:szCs w:val="24"/>
        </w:rPr>
      </w:pPr>
      <w:r w:rsidRPr="007060FA">
        <w:rPr>
          <w:rFonts w:ascii="Arial" w:hAnsi="Arial" w:cs="Arial"/>
          <w:sz w:val="24"/>
          <w:szCs w:val="24"/>
        </w:rPr>
        <w:t xml:space="preserve">Este trabajo pretende analizar </w:t>
      </w:r>
      <w:r w:rsidR="00620380" w:rsidRPr="007060FA">
        <w:rPr>
          <w:rFonts w:ascii="Arial" w:hAnsi="Arial" w:cs="Arial"/>
          <w:sz w:val="24"/>
          <w:szCs w:val="24"/>
        </w:rPr>
        <w:t>las distintas</w:t>
      </w:r>
      <w:r w:rsidRPr="007060FA">
        <w:rPr>
          <w:rFonts w:ascii="Arial" w:hAnsi="Arial" w:cs="Arial"/>
          <w:sz w:val="24"/>
          <w:szCs w:val="24"/>
        </w:rPr>
        <w:t xml:space="preserve"> variables que </w:t>
      </w:r>
      <w:r w:rsidR="00620380" w:rsidRPr="007060FA">
        <w:rPr>
          <w:rFonts w:ascii="Arial" w:hAnsi="Arial" w:cs="Arial"/>
          <w:sz w:val="24"/>
          <w:szCs w:val="24"/>
        </w:rPr>
        <w:t xml:space="preserve">afectan al </w:t>
      </w:r>
      <w:r w:rsidR="00C26524" w:rsidRPr="007060FA">
        <w:rPr>
          <w:rFonts w:ascii="Arial" w:hAnsi="Arial" w:cs="Arial"/>
          <w:sz w:val="24"/>
          <w:szCs w:val="24"/>
        </w:rPr>
        <w:t>riesgo de pobreza</w:t>
      </w:r>
      <w:r w:rsidR="00620380" w:rsidRPr="007060FA">
        <w:rPr>
          <w:rFonts w:ascii="Arial" w:hAnsi="Arial" w:cs="Arial"/>
          <w:sz w:val="24"/>
          <w:szCs w:val="24"/>
        </w:rPr>
        <w:t xml:space="preserve"> de este grupo de la sociedad, </w:t>
      </w:r>
      <w:r w:rsidR="00C26524" w:rsidRPr="007060FA">
        <w:rPr>
          <w:rFonts w:ascii="Arial" w:hAnsi="Arial" w:cs="Arial"/>
          <w:sz w:val="24"/>
          <w:szCs w:val="24"/>
        </w:rPr>
        <w:t>con el objetivo de alcanzar los mecanismos necesarios que sirvan para su prevención.</w:t>
      </w:r>
      <w:r w:rsidR="007060FA">
        <w:rPr>
          <w:rFonts w:ascii="Arial" w:hAnsi="Arial" w:cs="Arial"/>
          <w:sz w:val="24"/>
          <w:szCs w:val="24"/>
        </w:rPr>
        <w:t xml:space="preserve"> </w:t>
      </w:r>
      <w:r w:rsidR="00620380">
        <w:rPr>
          <w:rFonts w:ascii="Arial" w:hAnsi="Arial" w:cs="Arial"/>
          <w:sz w:val="24"/>
          <w:szCs w:val="24"/>
        </w:rPr>
        <w:t>Para ello describiremos en primer lugar cuáles son las características de las mismas y de este grupo de personas, para a continuación tratar de identificar cuáles son las relaciones entre ellas y plantear posibles vías de mitigación del riesgo</w:t>
      </w:r>
      <w:r w:rsidR="00C26524">
        <w:rPr>
          <w:rFonts w:ascii="Arial" w:hAnsi="Arial" w:cs="Arial"/>
          <w:sz w:val="24"/>
          <w:szCs w:val="24"/>
        </w:rPr>
        <w:t>.</w:t>
      </w:r>
    </w:p>
    <w:p w:rsidR="005252EE" w:rsidRDefault="005252EE" w:rsidP="00BF6383">
      <w:pPr>
        <w:pStyle w:val="Indentado1"/>
        <w:tabs>
          <w:tab w:val="num" w:pos="0"/>
        </w:tabs>
        <w:spacing w:line="276" w:lineRule="auto"/>
        <w:ind w:left="0"/>
        <w:rPr>
          <w:rFonts w:ascii="Arial" w:hAnsi="Arial" w:cs="Arial"/>
          <w:sz w:val="24"/>
          <w:szCs w:val="24"/>
        </w:rPr>
      </w:pPr>
    </w:p>
    <w:p w:rsidR="005252EE" w:rsidRPr="00F06BDB" w:rsidRDefault="005252EE" w:rsidP="00BF6383">
      <w:pPr>
        <w:pStyle w:val="Indentado1"/>
        <w:tabs>
          <w:tab w:val="num" w:pos="0"/>
        </w:tabs>
        <w:spacing w:line="276" w:lineRule="auto"/>
        <w:ind w:left="0"/>
        <w:rPr>
          <w:rFonts w:ascii="Arial" w:hAnsi="Arial" w:cs="Arial"/>
          <w:sz w:val="24"/>
          <w:szCs w:val="24"/>
        </w:rPr>
      </w:pPr>
    </w:p>
    <w:p w:rsidR="00165B94" w:rsidRPr="00053E68" w:rsidRDefault="00165B94" w:rsidP="001D7CAF">
      <w:pPr>
        <w:pStyle w:val="Default"/>
        <w:rPr>
          <w:rFonts w:ascii="Arial" w:hAnsi="Arial" w:cs="Arial"/>
          <w:color w:val="auto"/>
        </w:rPr>
      </w:pPr>
      <w:r w:rsidRPr="00053E68">
        <w:rPr>
          <w:rFonts w:ascii="Arial" w:hAnsi="Arial" w:cs="Arial"/>
          <w:color w:val="auto"/>
        </w:rPr>
        <w:t xml:space="preserve">Palabras clave: </w:t>
      </w:r>
      <w:r w:rsidR="00303EF5">
        <w:rPr>
          <w:rFonts w:ascii="Arial" w:hAnsi="Arial" w:cs="Arial"/>
          <w:color w:val="auto"/>
        </w:rPr>
        <w:t>riesgo pobreza, e</w:t>
      </w:r>
      <w:r w:rsidR="00BF6383">
        <w:rPr>
          <w:rFonts w:ascii="Arial" w:hAnsi="Arial" w:cs="Arial"/>
          <w:color w:val="auto"/>
        </w:rPr>
        <w:t xml:space="preserve">xclusión social, </w:t>
      </w:r>
      <w:r w:rsidR="00303EF5">
        <w:rPr>
          <w:rFonts w:ascii="Arial" w:hAnsi="Arial" w:cs="Arial"/>
          <w:color w:val="auto"/>
        </w:rPr>
        <w:t xml:space="preserve"> pensiones, personas mayores.</w:t>
      </w:r>
    </w:p>
    <w:p w:rsidR="007C159B" w:rsidRDefault="007C159B" w:rsidP="001D7CAF">
      <w:pPr>
        <w:pStyle w:val="Piedepgina"/>
        <w:spacing w:before="240"/>
        <w:rPr>
          <w:rFonts w:ascii="Arial" w:hAnsi="Arial" w:cs="Arial"/>
          <w:sz w:val="24"/>
          <w:szCs w:val="24"/>
        </w:rPr>
      </w:pPr>
      <w:r w:rsidRPr="001D7CAF">
        <w:rPr>
          <w:rFonts w:ascii="Arial" w:hAnsi="Arial" w:cs="Arial"/>
          <w:sz w:val="24"/>
          <w:szCs w:val="24"/>
        </w:rPr>
        <w:t>Clasificación JEL:</w:t>
      </w:r>
      <w:r w:rsidR="00D60411">
        <w:rPr>
          <w:rFonts w:ascii="Arial" w:hAnsi="Arial" w:cs="Arial"/>
          <w:sz w:val="24"/>
          <w:szCs w:val="24"/>
        </w:rPr>
        <w:t xml:space="preserve"> </w:t>
      </w:r>
      <w:r w:rsidR="00D60411" w:rsidRPr="00D60411">
        <w:rPr>
          <w:rFonts w:ascii="Arial" w:hAnsi="Arial" w:cs="Arial"/>
          <w:sz w:val="24"/>
          <w:szCs w:val="24"/>
        </w:rPr>
        <w:t>I31</w:t>
      </w:r>
      <w:r w:rsidRPr="00D60411">
        <w:rPr>
          <w:rFonts w:ascii="Arial" w:hAnsi="Arial" w:cs="Arial"/>
          <w:sz w:val="24"/>
          <w:szCs w:val="24"/>
        </w:rPr>
        <w:t xml:space="preserve">, </w:t>
      </w:r>
      <w:r w:rsidR="00D60411">
        <w:rPr>
          <w:rFonts w:ascii="Arial" w:hAnsi="Arial" w:cs="Arial"/>
          <w:sz w:val="24"/>
          <w:szCs w:val="24"/>
        </w:rPr>
        <w:t>I32, C10</w:t>
      </w:r>
    </w:p>
    <w:p w:rsidR="00D60411" w:rsidRPr="001D7CAF" w:rsidRDefault="00D60411" w:rsidP="001D7CAF">
      <w:pPr>
        <w:pStyle w:val="Piedepgina"/>
        <w:spacing w:before="240"/>
        <w:rPr>
          <w:rFonts w:ascii="Arial" w:hAnsi="Arial" w:cs="Arial"/>
          <w:sz w:val="24"/>
          <w:szCs w:val="24"/>
        </w:rPr>
      </w:pPr>
    </w:p>
    <w:p w:rsidR="00CB1870" w:rsidRPr="00F14BB3" w:rsidRDefault="001D7CAF" w:rsidP="00762FCD">
      <w:pPr>
        <w:pStyle w:val="Default"/>
      </w:pPr>
      <w:r w:rsidRPr="00F14BB3">
        <w:rPr>
          <w:rFonts w:ascii="Arial" w:hAnsi="Arial" w:cs="Arial"/>
          <w:color w:val="auto"/>
        </w:rPr>
        <w:t>Áreas temáticas: Exclusión social.</w:t>
      </w:r>
    </w:p>
    <w:p w:rsidR="00CB1870" w:rsidRPr="00F14BB3" w:rsidRDefault="00CB1870"/>
    <w:p w:rsidR="009F482B" w:rsidRDefault="009F482B" w:rsidP="00F14BB3">
      <w:pPr>
        <w:jc w:val="both"/>
        <w:rPr>
          <w:rFonts w:ascii="Arial" w:hAnsi="Arial" w:cs="Arial"/>
          <w:sz w:val="24"/>
        </w:rPr>
      </w:pPr>
    </w:p>
    <w:p w:rsidR="009F482B" w:rsidRDefault="009F482B" w:rsidP="009F482B">
      <w:pPr>
        <w:pStyle w:val="Default"/>
        <w:jc w:val="center"/>
        <w:rPr>
          <w:rFonts w:ascii="Arial" w:hAnsi="Arial" w:cs="Arial"/>
          <w:b/>
          <w:color w:val="1F1F1F"/>
          <w:lang w:val="en-US"/>
        </w:rPr>
      </w:pPr>
      <w:r w:rsidRPr="00053E68">
        <w:rPr>
          <w:rFonts w:ascii="Arial" w:hAnsi="Arial" w:cs="Arial"/>
          <w:b/>
          <w:color w:val="1F1F1F"/>
          <w:lang w:val="en-US"/>
        </w:rPr>
        <w:lastRenderedPageBreak/>
        <w:t>Analysis of poverty risk of older people in Spain</w:t>
      </w:r>
    </w:p>
    <w:p w:rsidR="00A90464" w:rsidRDefault="00A90464" w:rsidP="009F482B">
      <w:pPr>
        <w:pStyle w:val="Default"/>
        <w:jc w:val="center"/>
        <w:rPr>
          <w:rFonts w:ascii="Arial" w:hAnsi="Arial" w:cs="Arial"/>
          <w:b/>
          <w:color w:val="1F1F1F"/>
          <w:lang w:val="en-US"/>
        </w:rPr>
      </w:pPr>
    </w:p>
    <w:p w:rsidR="00A90464" w:rsidRPr="00053E68" w:rsidRDefault="00A90464" w:rsidP="00A90464">
      <w:pPr>
        <w:pStyle w:val="Default"/>
        <w:jc w:val="right"/>
        <w:rPr>
          <w:rFonts w:ascii="Arial" w:hAnsi="Arial" w:cs="Arial"/>
          <w:color w:val="1F1F1F"/>
        </w:rPr>
      </w:pPr>
      <w:r w:rsidRPr="00053E68">
        <w:rPr>
          <w:rFonts w:ascii="Arial" w:hAnsi="Arial" w:cs="Arial"/>
          <w:color w:val="1F1F1F"/>
        </w:rPr>
        <w:t>Sonia de Paz Cobo*, Juan Manuel López Zafra**</w:t>
      </w:r>
    </w:p>
    <w:p w:rsidR="00A90464" w:rsidRPr="00053E68" w:rsidRDefault="00A90464" w:rsidP="00A90464">
      <w:pPr>
        <w:pStyle w:val="Default"/>
        <w:jc w:val="right"/>
        <w:rPr>
          <w:rFonts w:ascii="Arial" w:hAnsi="Arial" w:cs="Arial"/>
          <w:color w:val="1F1F1F"/>
        </w:rPr>
      </w:pPr>
      <w:r w:rsidRPr="00053E68">
        <w:rPr>
          <w:rFonts w:ascii="Arial" w:hAnsi="Arial" w:cs="Arial"/>
          <w:color w:val="1F1F1F"/>
        </w:rPr>
        <w:t>*Universidad Rey Juan Carlos,</w:t>
      </w:r>
    </w:p>
    <w:p w:rsidR="00A90464" w:rsidRPr="00053E68" w:rsidRDefault="00A90464" w:rsidP="00A90464">
      <w:pPr>
        <w:pStyle w:val="Default"/>
        <w:jc w:val="right"/>
        <w:rPr>
          <w:rFonts w:ascii="Arial" w:hAnsi="Arial" w:cs="Arial"/>
          <w:color w:val="1F1F1F"/>
        </w:rPr>
      </w:pPr>
      <w:r w:rsidRPr="00053E68">
        <w:rPr>
          <w:rFonts w:ascii="Arial" w:hAnsi="Arial" w:cs="Arial"/>
          <w:color w:val="1F1F1F"/>
        </w:rPr>
        <w:t xml:space="preserve"> </w:t>
      </w:r>
      <w:r>
        <w:rPr>
          <w:rFonts w:ascii="Arial" w:hAnsi="Arial" w:cs="Arial"/>
          <w:color w:val="1F1F1F"/>
        </w:rPr>
        <w:t>sonia.depaz@urjc.es</w:t>
      </w:r>
    </w:p>
    <w:p w:rsidR="00A90464" w:rsidRPr="00053E68" w:rsidRDefault="00A90464" w:rsidP="00A90464">
      <w:pPr>
        <w:pStyle w:val="Default"/>
        <w:jc w:val="right"/>
        <w:rPr>
          <w:rFonts w:ascii="Arial" w:hAnsi="Arial" w:cs="Arial"/>
          <w:color w:val="1F1F1F"/>
        </w:rPr>
      </w:pPr>
      <w:r w:rsidRPr="00053E68">
        <w:rPr>
          <w:rFonts w:ascii="Arial" w:hAnsi="Arial" w:cs="Arial"/>
          <w:color w:val="1F1F1F"/>
        </w:rPr>
        <w:t>** Colegio universitario de Estudios Financieros (CUNEF)</w:t>
      </w:r>
    </w:p>
    <w:p w:rsidR="00A90464" w:rsidRPr="00053E68" w:rsidRDefault="00A90464" w:rsidP="00A90464">
      <w:pPr>
        <w:pStyle w:val="Default"/>
        <w:jc w:val="right"/>
        <w:rPr>
          <w:rFonts w:ascii="Arial" w:hAnsi="Arial" w:cs="Arial"/>
          <w:color w:val="1F1F1F"/>
        </w:rPr>
      </w:pPr>
      <w:r>
        <w:rPr>
          <w:rFonts w:ascii="Arial" w:hAnsi="Arial" w:cs="Arial"/>
          <w:color w:val="1F1F1F"/>
        </w:rPr>
        <w:t xml:space="preserve">jmlopezzafra@cunef.edu </w:t>
      </w:r>
    </w:p>
    <w:p w:rsidR="00A90464" w:rsidRPr="00053E68" w:rsidRDefault="00A90464" w:rsidP="00A90464">
      <w:pPr>
        <w:pStyle w:val="Default"/>
        <w:jc w:val="right"/>
        <w:rPr>
          <w:rFonts w:ascii="Arial" w:hAnsi="Arial" w:cs="Arial"/>
          <w:b/>
          <w:color w:val="1F1F1F"/>
          <w:lang w:val="en-US"/>
        </w:rPr>
      </w:pPr>
    </w:p>
    <w:p w:rsidR="009F482B" w:rsidRDefault="009F482B" w:rsidP="00F14BB3">
      <w:pPr>
        <w:jc w:val="both"/>
        <w:rPr>
          <w:rFonts w:ascii="Arial" w:hAnsi="Arial" w:cs="Arial"/>
          <w:sz w:val="24"/>
          <w:lang w:val="en-US"/>
        </w:rPr>
      </w:pPr>
    </w:p>
    <w:p w:rsidR="00D375E6" w:rsidRDefault="00D375E6" w:rsidP="00D375E6">
      <w:pPr>
        <w:jc w:val="both"/>
        <w:rPr>
          <w:rFonts w:ascii="Arial" w:hAnsi="Arial" w:cs="Arial"/>
          <w:sz w:val="24"/>
        </w:rPr>
      </w:pPr>
      <w:r>
        <w:rPr>
          <w:rFonts w:ascii="Arial" w:hAnsi="Arial" w:cs="Arial"/>
          <w:sz w:val="24"/>
        </w:rPr>
        <w:t xml:space="preserve">Siguiendo los datos publicados por </w:t>
      </w:r>
      <w:proofErr w:type="spellStart"/>
      <w:r>
        <w:rPr>
          <w:rFonts w:ascii="Arial" w:hAnsi="Arial" w:cs="Arial"/>
          <w:sz w:val="24"/>
        </w:rPr>
        <w:t>Eurostat</w:t>
      </w:r>
      <w:proofErr w:type="spellEnd"/>
      <w:r>
        <w:rPr>
          <w:rFonts w:ascii="Arial" w:hAnsi="Arial" w:cs="Arial"/>
          <w:sz w:val="24"/>
        </w:rPr>
        <w:t xml:space="preserve"> (revisado a 13.11.12), en España en 2011 se encuentran en situación de pobreza o exclusión social 696 mil y 1.027 mil, hombres y mujeres de más de 65 años</w:t>
      </w:r>
      <w:r w:rsidRPr="00B70863">
        <w:rPr>
          <w:rFonts w:ascii="Arial" w:hAnsi="Arial" w:cs="Arial"/>
          <w:sz w:val="24"/>
        </w:rPr>
        <w:t xml:space="preserve"> </w:t>
      </w:r>
      <w:r>
        <w:rPr>
          <w:rFonts w:ascii="Arial" w:hAnsi="Arial" w:cs="Arial"/>
          <w:sz w:val="24"/>
        </w:rPr>
        <w:t xml:space="preserve">respectivamente, lo que representa un 21% y un 23.3% de la </w:t>
      </w:r>
      <w:r w:rsidRPr="00203EAC">
        <w:rPr>
          <w:rFonts w:ascii="Arial" w:hAnsi="Arial" w:cs="Arial"/>
          <w:sz w:val="24"/>
          <w:highlight w:val="yellow"/>
        </w:rPr>
        <w:t>población de dicha edad.</w:t>
      </w:r>
      <w:r>
        <w:rPr>
          <w:rFonts w:ascii="Arial" w:hAnsi="Arial" w:cs="Arial"/>
          <w:sz w:val="24"/>
        </w:rPr>
        <w:t xml:space="preserve"> Para los de 75 o más edad, estas cifras suponen 396 mil y 586 mil, es decir el 23.9% y el 24.7%. Las cifras para los 27 países de la Unión Europea, a partir de este momento UE27, no difieren mucho, y en 2.010 eran 16.2% y 22.7% para hombres y mujeres respectivamente, lo que prácticamente supone 6 millones de ciudadanos y 10.9 de ciudadanas mayores de 65 años, y el 17.7% y el 25.2% respectivamente para la población de 75 o más edad. </w:t>
      </w:r>
    </w:p>
    <w:p w:rsidR="00F14BB3" w:rsidRPr="00F14BB3" w:rsidRDefault="00D375E6" w:rsidP="00F14BB3">
      <w:pPr>
        <w:jc w:val="both"/>
        <w:rPr>
          <w:rFonts w:ascii="Arial" w:hAnsi="Arial" w:cs="Arial"/>
          <w:sz w:val="24"/>
        </w:rPr>
      </w:pPr>
      <w:r>
        <w:rPr>
          <w:rFonts w:ascii="Arial" w:hAnsi="Arial" w:cs="Arial"/>
          <w:sz w:val="24"/>
        </w:rPr>
        <w:t>Se definen l</w:t>
      </w:r>
      <w:r w:rsidR="00F14BB3" w:rsidRPr="00F14BB3">
        <w:rPr>
          <w:rFonts w:ascii="Arial" w:hAnsi="Arial" w:cs="Arial"/>
          <w:sz w:val="24"/>
        </w:rPr>
        <w:t xml:space="preserve">as personas en riesgo de pobreza como aquellas cuya renta disponible equivalente se encuentra por debajo del umbral de riesgo de pobreza, estando este fijado en el 60% de la mediana de la distribución de la renta disponible equivalente </w:t>
      </w:r>
      <w:r w:rsidR="00F14BB3" w:rsidRPr="00F14BB3">
        <w:rPr>
          <w:rFonts w:ascii="Arial" w:hAnsi="Arial" w:cs="Arial"/>
          <w:sz w:val="24"/>
          <w:highlight w:val="yellow"/>
        </w:rPr>
        <w:t>de la CV.</w:t>
      </w:r>
      <w:r w:rsidR="00F14BB3" w:rsidRPr="00F14BB3">
        <w:rPr>
          <w:rFonts w:ascii="Arial" w:hAnsi="Arial" w:cs="Arial"/>
          <w:sz w:val="24"/>
        </w:rPr>
        <w:t xml:space="preserve"> La renta disponible equivalente, que se imputa a cada miembro del hogar, es el total de la renta disponible del hogar dividida por el número de unidades </w:t>
      </w:r>
      <w:r>
        <w:rPr>
          <w:rFonts w:ascii="Arial" w:hAnsi="Arial" w:cs="Arial"/>
          <w:sz w:val="24"/>
        </w:rPr>
        <w:t xml:space="preserve">de consumo, y estos </w:t>
      </w:r>
      <w:r w:rsidR="00F14BB3" w:rsidRPr="00F14BB3">
        <w:rPr>
          <w:rFonts w:ascii="Arial" w:hAnsi="Arial" w:cs="Arial"/>
          <w:sz w:val="24"/>
        </w:rPr>
        <w:t>se calcula aplicando la escala de equivalencia de la OCDE modificada, que asigna un peso 1 al primer adulto del hogar, 0'5 al resto de los adultos y 0'3 a los menores</w:t>
      </w:r>
      <w:r w:rsidR="002A141D">
        <w:rPr>
          <w:rFonts w:ascii="Arial" w:hAnsi="Arial" w:cs="Arial"/>
          <w:sz w:val="24"/>
        </w:rPr>
        <w:t>.</w:t>
      </w:r>
      <w:r w:rsidR="00F14BB3" w:rsidRPr="00F14BB3">
        <w:rPr>
          <w:rFonts w:ascii="Arial" w:hAnsi="Arial" w:cs="Arial"/>
          <w:sz w:val="24"/>
        </w:rPr>
        <w:tab/>
      </w:r>
      <w:r w:rsidR="00F14BB3" w:rsidRPr="00F14BB3">
        <w:rPr>
          <w:rFonts w:ascii="Arial" w:hAnsi="Arial" w:cs="Arial"/>
          <w:sz w:val="24"/>
        </w:rPr>
        <w:tab/>
      </w:r>
      <w:r w:rsidR="00F14BB3" w:rsidRPr="00F14BB3">
        <w:rPr>
          <w:rFonts w:ascii="Arial" w:hAnsi="Arial" w:cs="Arial"/>
          <w:sz w:val="24"/>
        </w:rPr>
        <w:tab/>
      </w:r>
    </w:p>
    <w:p w:rsidR="00CB1870" w:rsidRDefault="00F14BB3" w:rsidP="00F14BB3">
      <w:pPr>
        <w:jc w:val="both"/>
        <w:rPr>
          <w:rFonts w:ascii="Arial" w:hAnsi="Arial" w:cs="Arial"/>
          <w:sz w:val="24"/>
        </w:rPr>
      </w:pPr>
      <w:r w:rsidRPr="00F14BB3">
        <w:rPr>
          <w:rFonts w:ascii="Arial" w:hAnsi="Arial" w:cs="Arial"/>
          <w:sz w:val="24"/>
        </w:rPr>
        <w:t xml:space="preserve">La tasa de riesgo de pobreza antes de transferencias sociales, es un indicador de la efectividad redistributiva del sistema de protección social. Debido al peso específico que tienen las prestaciones por vejez, especialmente las pensiones de jubilación y las de supervivencia, este indicador se </w:t>
      </w:r>
      <w:r>
        <w:rPr>
          <w:rFonts w:ascii="Arial" w:hAnsi="Arial" w:cs="Arial"/>
          <w:sz w:val="24"/>
        </w:rPr>
        <w:t>calcula</w:t>
      </w:r>
      <w:r w:rsidRPr="00F14BB3">
        <w:rPr>
          <w:rFonts w:ascii="Arial" w:hAnsi="Arial" w:cs="Arial"/>
          <w:sz w:val="24"/>
        </w:rPr>
        <w:t xml:space="preserve"> de dos formas: considerando todas las prestaciones de manera conjunta y excluyendo las pensiones de jubilación y supervivencia</w:t>
      </w:r>
    </w:p>
    <w:p w:rsidR="00203EAC" w:rsidRDefault="00B70863" w:rsidP="001635CA">
      <w:pPr>
        <w:jc w:val="both"/>
        <w:rPr>
          <w:rFonts w:ascii="Arial" w:hAnsi="Arial" w:cs="Arial"/>
          <w:sz w:val="24"/>
        </w:rPr>
      </w:pPr>
      <w:r>
        <w:rPr>
          <w:rFonts w:ascii="Arial" w:hAnsi="Arial" w:cs="Arial"/>
          <w:sz w:val="24"/>
        </w:rPr>
        <w:t>De esta maner</w:t>
      </w:r>
      <w:r w:rsidR="002B2830">
        <w:rPr>
          <w:rFonts w:ascii="Arial" w:hAnsi="Arial" w:cs="Arial"/>
          <w:sz w:val="24"/>
        </w:rPr>
        <w:t xml:space="preserve">a, siguiendo nuevamente los datos publicados por </w:t>
      </w:r>
      <w:proofErr w:type="spellStart"/>
      <w:r w:rsidR="002B2830">
        <w:rPr>
          <w:rFonts w:ascii="Arial" w:hAnsi="Arial" w:cs="Arial"/>
          <w:sz w:val="24"/>
        </w:rPr>
        <w:t>Eurostat</w:t>
      </w:r>
      <w:proofErr w:type="spellEnd"/>
      <w:r w:rsidR="002B2830">
        <w:rPr>
          <w:rFonts w:ascii="Arial" w:hAnsi="Arial" w:cs="Arial"/>
          <w:sz w:val="24"/>
        </w:rPr>
        <w:t>, (revisado 13.11.12),  la tasa del riesgo de pobreza después de transferencias sociales en España para las población de 65 o más años se sitúa en el 19.9% y 23.1% para hombres y mujeres respectivamente, y en el 21% y el 25.5% para los de 75 o más años.</w:t>
      </w:r>
    </w:p>
    <w:p w:rsidR="00990E18" w:rsidRDefault="00990E18" w:rsidP="001635CA">
      <w:pPr>
        <w:jc w:val="both"/>
        <w:rPr>
          <w:rFonts w:ascii="Arial" w:hAnsi="Arial" w:cs="Arial"/>
          <w:sz w:val="24"/>
        </w:rPr>
      </w:pPr>
    </w:p>
    <w:p w:rsidR="00990E18" w:rsidRDefault="00990E18" w:rsidP="001635CA">
      <w:pPr>
        <w:jc w:val="both"/>
        <w:rPr>
          <w:rFonts w:ascii="Arial" w:hAnsi="Arial" w:cs="Arial"/>
          <w:sz w:val="24"/>
        </w:rPr>
      </w:pPr>
    </w:p>
    <w:p w:rsidR="00990E18" w:rsidRDefault="00990E18" w:rsidP="001635CA">
      <w:pPr>
        <w:jc w:val="both"/>
        <w:rPr>
          <w:rFonts w:ascii="Arial" w:hAnsi="Arial" w:cs="Arial"/>
          <w:sz w:val="24"/>
        </w:rPr>
      </w:pPr>
      <w:r w:rsidRPr="00990E18">
        <w:rPr>
          <w:rFonts w:ascii="Arial" w:hAnsi="Arial" w:cs="Arial"/>
          <w:sz w:val="24"/>
        </w:rPr>
        <w:lastRenderedPageBreak/>
        <w:drawing>
          <wp:inline distT="0" distB="0" distL="0" distR="0">
            <wp:extent cx="5612130" cy="3806825"/>
            <wp:effectExtent l="19050" t="0" r="26670" b="31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2830" w:rsidRPr="00344233" w:rsidRDefault="00344233" w:rsidP="001635CA">
      <w:pPr>
        <w:jc w:val="both"/>
        <w:rPr>
          <w:rFonts w:ascii="Arial" w:hAnsi="Arial" w:cs="Arial"/>
          <w:sz w:val="18"/>
        </w:rPr>
      </w:pPr>
      <w:r w:rsidRPr="00845A27">
        <w:rPr>
          <w:rFonts w:ascii="Arial" w:hAnsi="Arial" w:cs="Arial"/>
          <w:b/>
          <w:sz w:val="24"/>
          <w:szCs w:val="24"/>
        </w:rPr>
        <w:t>FUENTE: Tasa del riesgo de pobreza después de transferencias sociales</w:t>
      </w:r>
      <w:r w:rsidRPr="00845A27">
        <w:rPr>
          <w:rFonts w:ascii="Arial" w:hAnsi="Arial" w:cs="Arial"/>
          <w:sz w:val="24"/>
          <w:szCs w:val="24"/>
        </w:rPr>
        <w:t>.</w:t>
      </w:r>
      <w:r w:rsidR="00F26388" w:rsidRPr="00845A27">
        <w:rPr>
          <w:rFonts w:ascii="Arial" w:hAnsi="Arial" w:cs="Arial"/>
          <w:szCs w:val="18"/>
        </w:rPr>
        <w:t xml:space="preserve"> </w:t>
      </w:r>
      <w:r w:rsidR="00F26388">
        <w:rPr>
          <w:rFonts w:ascii="Arial" w:hAnsi="Arial" w:cs="Arial"/>
          <w:sz w:val="18"/>
          <w:szCs w:val="18"/>
        </w:rPr>
        <w:t>Valores en %.</w:t>
      </w:r>
      <w:r>
        <w:rPr>
          <w:rFonts w:ascii="Arial" w:hAnsi="Arial" w:cs="Arial"/>
          <w:sz w:val="18"/>
          <w:szCs w:val="18"/>
        </w:rPr>
        <w:t xml:space="preserve"> </w:t>
      </w:r>
      <w:r>
        <w:rPr>
          <w:rFonts w:ascii="Arial" w:hAnsi="Arial" w:cs="Arial"/>
          <w:sz w:val="18"/>
        </w:rPr>
        <w:t>Elaboración propia</w:t>
      </w:r>
      <w:r w:rsidRPr="00344233">
        <w:rPr>
          <w:rFonts w:ascii="Arial" w:hAnsi="Arial" w:cs="Arial"/>
          <w:sz w:val="18"/>
        </w:rPr>
        <w:t xml:space="preserve">. Datos </w:t>
      </w:r>
      <w:proofErr w:type="spellStart"/>
      <w:r w:rsidRPr="00344233">
        <w:rPr>
          <w:rFonts w:ascii="Arial" w:hAnsi="Arial" w:cs="Arial"/>
          <w:sz w:val="18"/>
        </w:rPr>
        <w:t>Eurostat</w:t>
      </w:r>
      <w:proofErr w:type="spellEnd"/>
      <w:r w:rsidRPr="00344233">
        <w:rPr>
          <w:rFonts w:ascii="Arial" w:hAnsi="Arial" w:cs="Arial"/>
          <w:sz w:val="18"/>
        </w:rPr>
        <w:t xml:space="preserve"> 13.11.2012</w:t>
      </w:r>
    </w:p>
    <w:tbl>
      <w:tblPr>
        <w:tblW w:w="10068" w:type="dxa"/>
        <w:tblCellMar>
          <w:left w:w="0" w:type="dxa"/>
          <w:right w:w="0" w:type="dxa"/>
        </w:tblCellMar>
        <w:tblLook w:val="04A0"/>
      </w:tblPr>
      <w:tblGrid>
        <w:gridCol w:w="1669"/>
        <w:gridCol w:w="8399"/>
      </w:tblGrid>
      <w:tr w:rsidR="002B2830" w:rsidRPr="00344233" w:rsidTr="00344233">
        <w:trPr>
          <w:trHeight w:val="285"/>
        </w:trPr>
        <w:tc>
          <w:tcPr>
            <w:tcW w:w="1669" w:type="dxa"/>
            <w:tcBorders>
              <w:top w:val="nil"/>
              <w:left w:val="nil"/>
              <w:bottom w:val="nil"/>
              <w:right w:val="nil"/>
            </w:tcBorders>
            <w:shd w:val="clear" w:color="auto" w:fill="auto"/>
            <w:noWrap/>
            <w:tcMar>
              <w:top w:w="15" w:type="dxa"/>
              <w:left w:w="15" w:type="dxa"/>
              <w:bottom w:w="0" w:type="dxa"/>
              <w:right w:w="15" w:type="dxa"/>
            </w:tcMar>
            <w:vAlign w:val="bottom"/>
            <w:hideMark/>
          </w:tcPr>
          <w:p w:rsidR="002B2830" w:rsidRDefault="002B2830" w:rsidP="00CC42E5">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B2830" w:rsidRPr="00344233" w:rsidRDefault="002B2830" w:rsidP="00CC42E5">
            <w:pPr>
              <w:rPr>
                <w:rFonts w:ascii="Arial" w:hAnsi="Arial" w:cs="Arial"/>
                <w:sz w:val="20"/>
                <w:szCs w:val="20"/>
              </w:rPr>
            </w:pPr>
          </w:p>
        </w:tc>
      </w:tr>
    </w:tbl>
    <w:p w:rsidR="003D4672" w:rsidRPr="00F06BDB" w:rsidRDefault="002D729F" w:rsidP="003D4672">
      <w:pPr>
        <w:pStyle w:val="Indentado1"/>
        <w:tabs>
          <w:tab w:val="num" w:pos="0"/>
        </w:tabs>
        <w:spacing w:line="276" w:lineRule="auto"/>
        <w:ind w:left="0"/>
        <w:rPr>
          <w:sz w:val="24"/>
          <w:szCs w:val="24"/>
        </w:rPr>
      </w:pPr>
      <w:r w:rsidRPr="00F06BDB">
        <w:rPr>
          <w:rFonts w:ascii="Arial" w:hAnsi="Arial" w:cs="Arial"/>
          <w:sz w:val="24"/>
          <w:szCs w:val="24"/>
        </w:rPr>
        <w:t>Las desigualdades de los ingresos de la población de mayores en España depende</w:t>
      </w:r>
      <w:r>
        <w:rPr>
          <w:rFonts w:ascii="Arial" w:hAnsi="Arial" w:cs="Arial"/>
          <w:sz w:val="24"/>
          <w:szCs w:val="24"/>
        </w:rPr>
        <w:t>n</w:t>
      </w:r>
      <w:r w:rsidRPr="00F06BDB">
        <w:rPr>
          <w:rFonts w:ascii="Arial" w:hAnsi="Arial" w:cs="Arial"/>
          <w:sz w:val="24"/>
          <w:szCs w:val="24"/>
        </w:rPr>
        <w:t xml:space="preserve"> de </w:t>
      </w:r>
      <w:r>
        <w:rPr>
          <w:rFonts w:ascii="Arial" w:hAnsi="Arial" w:cs="Arial"/>
          <w:sz w:val="24"/>
          <w:szCs w:val="24"/>
        </w:rPr>
        <w:t>diversos</w:t>
      </w:r>
      <w:r w:rsidRPr="00F06BDB">
        <w:rPr>
          <w:rFonts w:ascii="Arial" w:hAnsi="Arial" w:cs="Arial"/>
          <w:sz w:val="24"/>
          <w:szCs w:val="24"/>
        </w:rPr>
        <w:t xml:space="preserve"> factores como son la situación del  mercado de laboral, el </w:t>
      </w:r>
      <w:r>
        <w:rPr>
          <w:rFonts w:ascii="Arial" w:hAnsi="Arial" w:cs="Arial"/>
          <w:sz w:val="24"/>
          <w:szCs w:val="24"/>
        </w:rPr>
        <w:t>modelo</w:t>
      </w:r>
      <w:r w:rsidRPr="00F06BDB">
        <w:rPr>
          <w:rFonts w:ascii="Arial" w:hAnsi="Arial" w:cs="Arial"/>
          <w:sz w:val="24"/>
          <w:szCs w:val="24"/>
        </w:rPr>
        <w:t xml:space="preserve"> de Estado de bienestar, o las fuentes de ingresos </w:t>
      </w:r>
      <w:r>
        <w:rPr>
          <w:rFonts w:ascii="Arial" w:hAnsi="Arial" w:cs="Arial"/>
          <w:sz w:val="24"/>
          <w:szCs w:val="24"/>
        </w:rPr>
        <w:t xml:space="preserve"> alternativos, </w:t>
      </w:r>
      <w:r w:rsidRPr="00F06BDB">
        <w:rPr>
          <w:rFonts w:ascii="Arial" w:hAnsi="Arial" w:cs="Arial"/>
          <w:sz w:val="24"/>
          <w:szCs w:val="24"/>
        </w:rPr>
        <w:t>si bien</w:t>
      </w:r>
      <w:r>
        <w:rPr>
          <w:rFonts w:ascii="Arial" w:hAnsi="Arial" w:cs="Arial"/>
          <w:sz w:val="24"/>
          <w:szCs w:val="24"/>
        </w:rPr>
        <w:t>,</w:t>
      </w:r>
      <w:r w:rsidRPr="00F06BDB">
        <w:rPr>
          <w:rFonts w:ascii="Arial" w:hAnsi="Arial" w:cs="Arial"/>
          <w:sz w:val="24"/>
          <w:szCs w:val="24"/>
        </w:rPr>
        <w:t xml:space="preserve"> en promedio, el ingreso de la población de mayor edad está distribuido más equitativamente que el del resto de la población.</w:t>
      </w:r>
      <w:r w:rsidR="003D4672">
        <w:rPr>
          <w:rFonts w:ascii="Arial" w:hAnsi="Arial" w:cs="Arial"/>
          <w:sz w:val="24"/>
          <w:szCs w:val="24"/>
        </w:rPr>
        <w:t xml:space="preserve"> P</w:t>
      </w:r>
      <w:r>
        <w:rPr>
          <w:rFonts w:ascii="Arial" w:hAnsi="Arial" w:cs="Arial"/>
          <w:sz w:val="24"/>
          <w:szCs w:val="24"/>
        </w:rPr>
        <w:t xml:space="preserve">asamos a analizar </w:t>
      </w:r>
      <w:r w:rsidR="003D4672">
        <w:rPr>
          <w:rFonts w:ascii="Arial" w:hAnsi="Arial" w:cs="Arial"/>
          <w:sz w:val="24"/>
          <w:szCs w:val="24"/>
        </w:rPr>
        <w:t xml:space="preserve">los datos de la Encuesta de Condiciones de vida 2011, del Instituto Nacional de Estadística (INE), para </w:t>
      </w:r>
      <w:r>
        <w:rPr>
          <w:rFonts w:ascii="Arial" w:hAnsi="Arial" w:cs="Arial"/>
          <w:sz w:val="24"/>
          <w:szCs w:val="24"/>
        </w:rPr>
        <w:t xml:space="preserve">la población de </w:t>
      </w:r>
      <w:r w:rsidR="003D4672">
        <w:rPr>
          <w:rFonts w:ascii="Arial" w:hAnsi="Arial" w:cs="Arial"/>
          <w:sz w:val="24"/>
          <w:szCs w:val="24"/>
        </w:rPr>
        <w:t xml:space="preserve">65 o más edad, intentando </w:t>
      </w:r>
      <w:r w:rsidR="003D4672" w:rsidRPr="007060FA">
        <w:rPr>
          <w:rFonts w:ascii="Arial" w:hAnsi="Arial" w:cs="Arial"/>
          <w:sz w:val="24"/>
          <w:szCs w:val="24"/>
        </w:rPr>
        <w:t>analizar las distintas variables que afectan al riesgo de pobreza de este grupo de la sociedad, con el objetivo de alcanzar los mecanismos necesarios que sirvan para su prevención.</w:t>
      </w:r>
      <w:r w:rsidR="003D4672">
        <w:rPr>
          <w:rFonts w:ascii="Arial" w:hAnsi="Arial" w:cs="Arial"/>
          <w:sz w:val="24"/>
          <w:szCs w:val="24"/>
        </w:rPr>
        <w:t xml:space="preserve"> Para ello describiremos en primer lugar cuáles son las características de las mismas y de este grupo de personas, para a continuación tratar de identificar cuáles son las relaciones entre ellas y plantear posibles vías de mitigación del riesgo.</w:t>
      </w:r>
    </w:p>
    <w:p w:rsidR="002D729F" w:rsidRPr="00F06BDB" w:rsidRDefault="002D729F" w:rsidP="002D729F">
      <w:pPr>
        <w:pStyle w:val="Indentado1"/>
        <w:tabs>
          <w:tab w:val="num" w:pos="0"/>
        </w:tabs>
        <w:spacing w:line="276" w:lineRule="auto"/>
        <w:ind w:left="0"/>
        <w:rPr>
          <w:rFonts w:ascii="Arial" w:hAnsi="Arial" w:cs="Arial"/>
          <w:sz w:val="24"/>
          <w:szCs w:val="24"/>
        </w:rPr>
      </w:pPr>
    </w:p>
    <w:sectPr w:rsidR="002D729F" w:rsidRPr="00F06BDB" w:rsidSect="00533E6C">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AC" w:rsidRDefault="00203EAC" w:rsidP="00E939C0">
      <w:pPr>
        <w:spacing w:after="0" w:line="240" w:lineRule="auto"/>
      </w:pPr>
      <w:r>
        <w:separator/>
      </w:r>
    </w:p>
  </w:endnote>
  <w:endnote w:type="continuationSeparator" w:id="0">
    <w:p w:rsidR="00203EAC" w:rsidRDefault="00203EAC" w:rsidP="00E93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67842"/>
      <w:docPartObj>
        <w:docPartGallery w:val="Page Numbers (Bottom of Page)"/>
        <w:docPartUnique/>
      </w:docPartObj>
    </w:sdtPr>
    <w:sdtContent>
      <w:p w:rsidR="00203EAC" w:rsidRDefault="00203EAC">
        <w:pPr>
          <w:pStyle w:val="Piedepgina"/>
          <w:jc w:val="center"/>
        </w:pPr>
        <w:fldSimple w:instr=" PAGE   \* MERGEFORMAT ">
          <w:r w:rsidR="00324DC9">
            <w:rPr>
              <w:noProof/>
            </w:rPr>
            <w:t>3</w:t>
          </w:r>
        </w:fldSimple>
      </w:p>
    </w:sdtContent>
  </w:sdt>
  <w:p w:rsidR="00203EAC" w:rsidRDefault="00203E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AC" w:rsidRDefault="00203EAC" w:rsidP="00E939C0">
      <w:pPr>
        <w:spacing w:after="0" w:line="240" w:lineRule="auto"/>
      </w:pPr>
      <w:r>
        <w:separator/>
      </w:r>
    </w:p>
  </w:footnote>
  <w:footnote w:type="continuationSeparator" w:id="0">
    <w:p w:rsidR="00203EAC" w:rsidRDefault="00203EAC" w:rsidP="00E939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BEC"/>
    <w:multiLevelType w:val="multilevel"/>
    <w:tmpl w:val="F32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55ED9"/>
    <w:multiLevelType w:val="hybridMultilevel"/>
    <w:tmpl w:val="4C723A62"/>
    <w:lvl w:ilvl="0" w:tplc="716C9C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6655CC"/>
    <w:multiLevelType w:val="hybridMultilevel"/>
    <w:tmpl w:val="EE5A76C8"/>
    <w:lvl w:ilvl="0" w:tplc="76B6A8BE">
      <w:start w:val="1"/>
      <w:numFmt w:val="bullet"/>
      <w:lvlText w:val="-"/>
      <w:lvlJc w:val="left"/>
      <w:pPr>
        <w:ind w:left="1353" w:hanging="360"/>
      </w:pPr>
      <w:rPr>
        <w:rFonts w:ascii="Times New Roman" w:eastAsia="Times New Roman" w:hAnsi="Times New Roman" w:cs="Times New Roman"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633C4849"/>
    <w:multiLevelType w:val="multilevel"/>
    <w:tmpl w:val="B8F6628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72CE2C23"/>
    <w:multiLevelType w:val="hybridMultilevel"/>
    <w:tmpl w:val="3F32C60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65B94"/>
    <w:rsid w:val="00020B72"/>
    <w:rsid w:val="00033CFF"/>
    <w:rsid w:val="00045F39"/>
    <w:rsid w:val="00047705"/>
    <w:rsid w:val="00053E68"/>
    <w:rsid w:val="000608C2"/>
    <w:rsid w:val="000703F3"/>
    <w:rsid w:val="00095063"/>
    <w:rsid w:val="000A2236"/>
    <w:rsid w:val="000A521A"/>
    <w:rsid w:val="000B0B36"/>
    <w:rsid w:val="000C17DE"/>
    <w:rsid w:val="000D6244"/>
    <w:rsid w:val="000D6C1D"/>
    <w:rsid w:val="000F1275"/>
    <w:rsid w:val="000F585F"/>
    <w:rsid w:val="00104E28"/>
    <w:rsid w:val="001268D8"/>
    <w:rsid w:val="00143369"/>
    <w:rsid w:val="001635CA"/>
    <w:rsid w:val="00165B94"/>
    <w:rsid w:val="00171E7B"/>
    <w:rsid w:val="00180161"/>
    <w:rsid w:val="00187726"/>
    <w:rsid w:val="00193256"/>
    <w:rsid w:val="001A5BE1"/>
    <w:rsid w:val="001B32D1"/>
    <w:rsid w:val="001B37F3"/>
    <w:rsid w:val="001C0038"/>
    <w:rsid w:val="001D0E62"/>
    <w:rsid w:val="001D757C"/>
    <w:rsid w:val="001D75DB"/>
    <w:rsid w:val="001D7CAF"/>
    <w:rsid w:val="001E2C34"/>
    <w:rsid w:val="001E3B7F"/>
    <w:rsid w:val="001F0C18"/>
    <w:rsid w:val="001F3892"/>
    <w:rsid w:val="001F4DB5"/>
    <w:rsid w:val="001F69F1"/>
    <w:rsid w:val="001F7B6F"/>
    <w:rsid w:val="00201FC0"/>
    <w:rsid w:val="0020220E"/>
    <w:rsid w:val="00202596"/>
    <w:rsid w:val="00203EAC"/>
    <w:rsid w:val="00204B91"/>
    <w:rsid w:val="00204B9F"/>
    <w:rsid w:val="00207AE0"/>
    <w:rsid w:val="00213691"/>
    <w:rsid w:val="00214D71"/>
    <w:rsid w:val="002153E4"/>
    <w:rsid w:val="002235FA"/>
    <w:rsid w:val="0022747D"/>
    <w:rsid w:val="00254741"/>
    <w:rsid w:val="00261194"/>
    <w:rsid w:val="00267BD8"/>
    <w:rsid w:val="00283E6F"/>
    <w:rsid w:val="00285557"/>
    <w:rsid w:val="002952F3"/>
    <w:rsid w:val="0029567D"/>
    <w:rsid w:val="002A141D"/>
    <w:rsid w:val="002A1D51"/>
    <w:rsid w:val="002A64BF"/>
    <w:rsid w:val="002A7E35"/>
    <w:rsid w:val="002B14B2"/>
    <w:rsid w:val="002B2830"/>
    <w:rsid w:val="002C0B68"/>
    <w:rsid w:val="002C1E59"/>
    <w:rsid w:val="002D03C7"/>
    <w:rsid w:val="002D2CE0"/>
    <w:rsid w:val="002D42C7"/>
    <w:rsid w:val="002D4906"/>
    <w:rsid w:val="002D6910"/>
    <w:rsid w:val="002D729F"/>
    <w:rsid w:val="002F680A"/>
    <w:rsid w:val="00303EF5"/>
    <w:rsid w:val="00307E73"/>
    <w:rsid w:val="00324DC9"/>
    <w:rsid w:val="00327B7F"/>
    <w:rsid w:val="00344233"/>
    <w:rsid w:val="003611E8"/>
    <w:rsid w:val="003803BB"/>
    <w:rsid w:val="00385196"/>
    <w:rsid w:val="003862EF"/>
    <w:rsid w:val="00391944"/>
    <w:rsid w:val="003A2B5F"/>
    <w:rsid w:val="003C4476"/>
    <w:rsid w:val="003C4C06"/>
    <w:rsid w:val="003D4672"/>
    <w:rsid w:val="003F32EB"/>
    <w:rsid w:val="003F4B38"/>
    <w:rsid w:val="003F727C"/>
    <w:rsid w:val="00406270"/>
    <w:rsid w:val="00412590"/>
    <w:rsid w:val="0041373C"/>
    <w:rsid w:val="00416C05"/>
    <w:rsid w:val="0042499A"/>
    <w:rsid w:val="0042633C"/>
    <w:rsid w:val="00434196"/>
    <w:rsid w:val="004402D7"/>
    <w:rsid w:val="0044105D"/>
    <w:rsid w:val="004601EE"/>
    <w:rsid w:val="004607C0"/>
    <w:rsid w:val="00472115"/>
    <w:rsid w:val="00480352"/>
    <w:rsid w:val="0049006B"/>
    <w:rsid w:val="00490DBA"/>
    <w:rsid w:val="00496018"/>
    <w:rsid w:val="004A062C"/>
    <w:rsid w:val="004B0988"/>
    <w:rsid w:val="004B279C"/>
    <w:rsid w:val="004B4D87"/>
    <w:rsid w:val="004B7D0B"/>
    <w:rsid w:val="004B7FE1"/>
    <w:rsid w:val="004C2A62"/>
    <w:rsid w:val="004C6211"/>
    <w:rsid w:val="004C6ACC"/>
    <w:rsid w:val="00510E7F"/>
    <w:rsid w:val="0051179B"/>
    <w:rsid w:val="005252EE"/>
    <w:rsid w:val="00533E6C"/>
    <w:rsid w:val="00552C42"/>
    <w:rsid w:val="00570B27"/>
    <w:rsid w:val="00574CF0"/>
    <w:rsid w:val="00585561"/>
    <w:rsid w:val="00590BBA"/>
    <w:rsid w:val="00594E20"/>
    <w:rsid w:val="005D1529"/>
    <w:rsid w:val="0061506B"/>
    <w:rsid w:val="00617145"/>
    <w:rsid w:val="00620380"/>
    <w:rsid w:val="00620C7F"/>
    <w:rsid w:val="00635F35"/>
    <w:rsid w:val="00643647"/>
    <w:rsid w:val="0064485E"/>
    <w:rsid w:val="00650B46"/>
    <w:rsid w:val="00650E62"/>
    <w:rsid w:val="0065646F"/>
    <w:rsid w:val="0067245E"/>
    <w:rsid w:val="0067555F"/>
    <w:rsid w:val="00675651"/>
    <w:rsid w:val="006855AC"/>
    <w:rsid w:val="006A3AAA"/>
    <w:rsid w:val="006B41F8"/>
    <w:rsid w:val="006C38D6"/>
    <w:rsid w:val="006D64BC"/>
    <w:rsid w:val="006E5045"/>
    <w:rsid w:val="006E7960"/>
    <w:rsid w:val="006F7175"/>
    <w:rsid w:val="007060FA"/>
    <w:rsid w:val="0070661E"/>
    <w:rsid w:val="00714E40"/>
    <w:rsid w:val="0071588C"/>
    <w:rsid w:val="00723EC5"/>
    <w:rsid w:val="007518A7"/>
    <w:rsid w:val="00752482"/>
    <w:rsid w:val="0076036B"/>
    <w:rsid w:val="00762FCD"/>
    <w:rsid w:val="00783777"/>
    <w:rsid w:val="00787245"/>
    <w:rsid w:val="007929FB"/>
    <w:rsid w:val="007A6506"/>
    <w:rsid w:val="007A7692"/>
    <w:rsid w:val="007B07AF"/>
    <w:rsid w:val="007B2B5A"/>
    <w:rsid w:val="007C159B"/>
    <w:rsid w:val="007C54C3"/>
    <w:rsid w:val="007C5FEF"/>
    <w:rsid w:val="007F3E1D"/>
    <w:rsid w:val="00800C15"/>
    <w:rsid w:val="00822201"/>
    <w:rsid w:val="00845A27"/>
    <w:rsid w:val="00852856"/>
    <w:rsid w:val="00892723"/>
    <w:rsid w:val="008A40C3"/>
    <w:rsid w:val="008A5C70"/>
    <w:rsid w:val="008B4838"/>
    <w:rsid w:val="008B75E4"/>
    <w:rsid w:val="008E7001"/>
    <w:rsid w:val="00905A11"/>
    <w:rsid w:val="00905A82"/>
    <w:rsid w:val="00906082"/>
    <w:rsid w:val="0091150E"/>
    <w:rsid w:val="00912E1C"/>
    <w:rsid w:val="00925E45"/>
    <w:rsid w:val="009468A1"/>
    <w:rsid w:val="00950633"/>
    <w:rsid w:val="0095120F"/>
    <w:rsid w:val="00952784"/>
    <w:rsid w:val="00953020"/>
    <w:rsid w:val="0098285F"/>
    <w:rsid w:val="00990E18"/>
    <w:rsid w:val="00993C60"/>
    <w:rsid w:val="009A4DE2"/>
    <w:rsid w:val="009B33B8"/>
    <w:rsid w:val="009B4127"/>
    <w:rsid w:val="009F0841"/>
    <w:rsid w:val="009F482B"/>
    <w:rsid w:val="009F4F04"/>
    <w:rsid w:val="009F570A"/>
    <w:rsid w:val="00A017BC"/>
    <w:rsid w:val="00A15488"/>
    <w:rsid w:val="00A33E7A"/>
    <w:rsid w:val="00A44D1D"/>
    <w:rsid w:val="00A4547C"/>
    <w:rsid w:val="00A83B9C"/>
    <w:rsid w:val="00A90464"/>
    <w:rsid w:val="00AA7D4A"/>
    <w:rsid w:val="00AC363D"/>
    <w:rsid w:val="00AD12A4"/>
    <w:rsid w:val="00AE28C1"/>
    <w:rsid w:val="00AF1D36"/>
    <w:rsid w:val="00B145A0"/>
    <w:rsid w:val="00B16EB2"/>
    <w:rsid w:val="00B1705E"/>
    <w:rsid w:val="00B30984"/>
    <w:rsid w:val="00B40F9B"/>
    <w:rsid w:val="00B50D6B"/>
    <w:rsid w:val="00B70863"/>
    <w:rsid w:val="00B7161C"/>
    <w:rsid w:val="00B824B6"/>
    <w:rsid w:val="00B953DA"/>
    <w:rsid w:val="00BA01B2"/>
    <w:rsid w:val="00BA552C"/>
    <w:rsid w:val="00BB646E"/>
    <w:rsid w:val="00BD1501"/>
    <w:rsid w:val="00BD6A2B"/>
    <w:rsid w:val="00BD7DD6"/>
    <w:rsid w:val="00BD7E7D"/>
    <w:rsid w:val="00BF5CAE"/>
    <w:rsid w:val="00BF6383"/>
    <w:rsid w:val="00C12266"/>
    <w:rsid w:val="00C249CB"/>
    <w:rsid w:val="00C26524"/>
    <w:rsid w:val="00C3119B"/>
    <w:rsid w:val="00C31EA1"/>
    <w:rsid w:val="00C43DE9"/>
    <w:rsid w:val="00C50A74"/>
    <w:rsid w:val="00C55EA9"/>
    <w:rsid w:val="00C56117"/>
    <w:rsid w:val="00C635B7"/>
    <w:rsid w:val="00C855D3"/>
    <w:rsid w:val="00C8650A"/>
    <w:rsid w:val="00C93D34"/>
    <w:rsid w:val="00C93F1F"/>
    <w:rsid w:val="00C940E7"/>
    <w:rsid w:val="00CB1870"/>
    <w:rsid w:val="00CC5F03"/>
    <w:rsid w:val="00CD6CD1"/>
    <w:rsid w:val="00CF4D0E"/>
    <w:rsid w:val="00D00F1D"/>
    <w:rsid w:val="00D0257F"/>
    <w:rsid w:val="00D03D0B"/>
    <w:rsid w:val="00D057B4"/>
    <w:rsid w:val="00D23376"/>
    <w:rsid w:val="00D24BA7"/>
    <w:rsid w:val="00D255F1"/>
    <w:rsid w:val="00D365BF"/>
    <w:rsid w:val="00D375E6"/>
    <w:rsid w:val="00D56FA4"/>
    <w:rsid w:val="00D60411"/>
    <w:rsid w:val="00D61959"/>
    <w:rsid w:val="00D65C89"/>
    <w:rsid w:val="00D66C41"/>
    <w:rsid w:val="00D6710A"/>
    <w:rsid w:val="00DB0E60"/>
    <w:rsid w:val="00DB41B1"/>
    <w:rsid w:val="00DB7D9F"/>
    <w:rsid w:val="00DC4AC7"/>
    <w:rsid w:val="00DC7E13"/>
    <w:rsid w:val="00DD0628"/>
    <w:rsid w:val="00DE233B"/>
    <w:rsid w:val="00DE7AED"/>
    <w:rsid w:val="00DF194A"/>
    <w:rsid w:val="00E05DA8"/>
    <w:rsid w:val="00E125DC"/>
    <w:rsid w:val="00E27F23"/>
    <w:rsid w:val="00E3108D"/>
    <w:rsid w:val="00E34547"/>
    <w:rsid w:val="00E474E1"/>
    <w:rsid w:val="00E53BFC"/>
    <w:rsid w:val="00E843DC"/>
    <w:rsid w:val="00E939C0"/>
    <w:rsid w:val="00EA4550"/>
    <w:rsid w:val="00EA6260"/>
    <w:rsid w:val="00EB02B4"/>
    <w:rsid w:val="00EB630B"/>
    <w:rsid w:val="00EB762B"/>
    <w:rsid w:val="00EC2AB5"/>
    <w:rsid w:val="00ED1ADC"/>
    <w:rsid w:val="00ED2A4C"/>
    <w:rsid w:val="00EE4FAE"/>
    <w:rsid w:val="00EE5EEA"/>
    <w:rsid w:val="00EF67EB"/>
    <w:rsid w:val="00F00114"/>
    <w:rsid w:val="00F014D2"/>
    <w:rsid w:val="00F14BB3"/>
    <w:rsid w:val="00F26388"/>
    <w:rsid w:val="00F35900"/>
    <w:rsid w:val="00F41E68"/>
    <w:rsid w:val="00F44788"/>
    <w:rsid w:val="00F46ADE"/>
    <w:rsid w:val="00F5653C"/>
    <w:rsid w:val="00F6286C"/>
    <w:rsid w:val="00F65701"/>
    <w:rsid w:val="00F7236D"/>
    <w:rsid w:val="00F72425"/>
    <w:rsid w:val="00F7317E"/>
    <w:rsid w:val="00F7492C"/>
    <w:rsid w:val="00FA30D0"/>
    <w:rsid w:val="00FB1316"/>
    <w:rsid w:val="00FB398A"/>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94"/>
    <w:rPr>
      <w:rFonts w:ascii="Calibri" w:eastAsia="Calibri" w:hAnsi="Calibri" w:cs="Times New Roman"/>
    </w:rPr>
  </w:style>
  <w:style w:type="paragraph" w:styleId="Ttulo2">
    <w:name w:val="heading 2"/>
    <w:basedOn w:val="Normal"/>
    <w:link w:val="Ttulo2Car"/>
    <w:uiPriority w:val="9"/>
    <w:qFormat/>
    <w:rsid w:val="001F0C18"/>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165B94"/>
    <w:pPr>
      <w:autoSpaceDE w:val="0"/>
      <w:autoSpaceDN w:val="0"/>
      <w:adjustRightInd w:val="0"/>
      <w:spacing w:after="0" w:line="240" w:lineRule="auto"/>
    </w:pPr>
    <w:rPr>
      <w:rFonts w:ascii="Calibri" w:eastAsia="Calibri" w:hAnsi="Calibri" w:cs="Calibri"/>
      <w:color w:val="000000"/>
      <w:sz w:val="24"/>
      <w:szCs w:val="24"/>
    </w:rPr>
  </w:style>
  <w:style w:type="paragraph" w:styleId="Prrafodelista">
    <w:name w:val="List Paragraph"/>
    <w:basedOn w:val="Normal"/>
    <w:uiPriority w:val="34"/>
    <w:qFormat/>
    <w:rsid w:val="00165B94"/>
    <w:pPr>
      <w:ind w:left="720"/>
      <w:contextualSpacing/>
    </w:pPr>
  </w:style>
  <w:style w:type="paragraph" w:styleId="NormalWeb">
    <w:name w:val="Normal (Web)"/>
    <w:basedOn w:val="Normal"/>
    <w:uiPriority w:val="99"/>
    <w:semiHidden/>
    <w:rsid w:val="00165B94"/>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165B94"/>
    <w:rPr>
      <w:rFonts w:cs="Times New Roman"/>
      <w:b/>
      <w:bCs/>
    </w:rPr>
  </w:style>
  <w:style w:type="paragraph" w:styleId="Encabezado">
    <w:name w:val="header"/>
    <w:basedOn w:val="Normal"/>
    <w:link w:val="EncabezadoCar"/>
    <w:uiPriority w:val="99"/>
    <w:unhideWhenUsed/>
    <w:rsid w:val="00E939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39C0"/>
    <w:rPr>
      <w:rFonts w:ascii="Calibri" w:eastAsia="Calibri" w:hAnsi="Calibri" w:cs="Times New Roman"/>
    </w:rPr>
  </w:style>
  <w:style w:type="paragraph" w:styleId="Piedepgina">
    <w:name w:val="footer"/>
    <w:basedOn w:val="Normal"/>
    <w:link w:val="PiedepginaCar"/>
    <w:uiPriority w:val="99"/>
    <w:unhideWhenUsed/>
    <w:rsid w:val="00E939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39C0"/>
    <w:rPr>
      <w:rFonts w:ascii="Calibri" w:eastAsia="Calibri" w:hAnsi="Calibri" w:cs="Times New Roman"/>
    </w:rPr>
  </w:style>
  <w:style w:type="paragraph" w:styleId="Textodeglobo">
    <w:name w:val="Balloon Text"/>
    <w:basedOn w:val="Normal"/>
    <w:link w:val="TextodegloboCar"/>
    <w:uiPriority w:val="99"/>
    <w:semiHidden/>
    <w:unhideWhenUsed/>
    <w:rsid w:val="004B7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FE1"/>
    <w:rPr>
      <w:rFonts w:ascii="Tahoma" w:eastAsia="Calibri" w:hAnsi="Tahoma" w:cs="Tahoma"/>
      <w:sz w:val="16"/>
      <w:szCs w:val="16"/>
    </w:rPr>
  </w:style>
  <w:style w:type="character" w:customStyle="1" w:styleId="Ttulo2Car">
    <w:name w:val="Título 2 Car"/>
    <w:basedOn w:val="Fuentedeprrafopredeter"/>
    <w:link w:val="Ttulo2"/>
    <w:uiPriority w:val="9"/>
    <w:rsid w:val="001F0C18"/>
    <w:rPr>
      <w:rFonts w:ascii="Times New Roman" w:eastAsia="Times New Roman" w:hAnsi="Times New Roman" w:cs="Times New Roman"/>
      <w:b/>
      <w:bCs/>
      <w:sz w:val="36"/>
      <w:szCs w:val="36"/>
      <w:lang w:eastAsia="es-ES"/>
    </w:rPr>
  </w:style>
  <w:style w:type="character" w:customStyle="1" w:styleId="titulo">
    <w:name w:val="titulo"/>
    <w:basedOn w:val="Fuentedeprrafopredeter"/>
    <w:rsid w:val="001F0C18"/>
  </w:style>
  <w:style w:type="character" w:customStyle="1" w:styleId="subtitulo">
    <w:name w:val="subtitulo"/>
    <w:basedOn w:val="Fuentedeprrafopredeter"/>
    <w:rsid w:val="001F0C18"/>
  </w:style>
  <w:style w:type="character" w:styleId="Hipervnculo">
    <w:name w:val="Hyperlink"/>
    <w:basedOn w:val="Fuentedeprrafopredeter"/>
    <w:uiPriority w:val="99"/>
    <w:semiHidden/>
    <w:unhideWhenUsed/>
    <w:rsid w:val="001F0C18"/>
    <w:rPr>
      <w:color w:val="0000FF"/>
      <w:u w:val="single"/>
    </w:rPr>
  </w:style>
  <w:style w:type="character" w:styleId="AcrnimoHTML">
    <w:name w:val="HTML Acronym"/>
    <w:basedOn w:val="Fuentedeprrafopredeter"/>
    <w:uiPriority w:val="99"/>
    <w:semiHidden/>
    <w:unhideWhenUsed/>
    <w:rsid w:val="001F0C18"/>
  </w:style>
  <w:style w:type="paragraph" w:customStyle="1" w:styleId="Indentado1">
    <w:name w:val="Indentado 1"/>
    <w:basedOn w:val="Normal"/>
    <w:rsid w:val="00BF6383"/>
    <w:pPr>
      <w:spacing w:after="40" w:line="240" w:lineRule="auto"/>
      <w:ind w:left="709"/>
      <w:jc w:val="both"/>
    </w:pPr>
    <w:rPr>
      <w:rFonts w:ascii="Book Antiqua" w:eastAsia="Times New Roman" w:hAnsi="Book Antiqua"/>
      <w:szCs w:val="20"/>
      <w:lang w:val="es-ES_tradnl"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94"/>
    <w:rPr>
      <w:rFonts w:ascii="Calibri" w:eastAsia="Calibri" w:hAnsi="Calibri" w:cs="Times New Roman"/>
    </w:rPr>
  </w:style>
  <w:style w:type="paragraph" w:styleId="Heading2">
    <w:name w:val="heading 2"/>
    <w:basedOn w:val="Normal"/>
    <w:link w:val="Heading2Char"/>
    <w:uiPriority w:val="9"/>
    <w:qFormat/>
    <w:rsid w:val="001F0C18"/>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65B94"/>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165B94"/>
    <w:pPr>
      <w:ind w:left="720"/>
      <w:contextualSpacing/>
    </w:pPr>
  </w:style>
  <w:style w:type="paragraph" w:styleId="NormalWeb">
    <w:name w:val="Normal (Web)"/>
    <w:basedOn w:val="Normal"/>
    <w:uiPriority w:val="99"/>
    <w:semiHidden/>
    <w:rsid w:val="00165B94"/>
    <w:pPr>
      <w:spacing w:before="100" w:beforeAutospacing="1" w:after="100" w:afterAutospacing="1" w:line="240" w:lineRule="auto"/>
    </w:pPr>
    <w:rPr>
      <w:rFonts w:ascii="Times New Roman" w:eastAsia="Times New Roman" w:hAnsi="Times New Roman"/>
      <w:sz w:val="24"/>
      <w:szCs w:val="24"/>
      <w:lang w:eastAsia="es-ES"/>
    </w:rPr>
  </w:style>
  <w:style w:type="character" w:styleId="Strong">
    <w:name w:val="Strong"/>
    <w:basedOn w:val="DefaultParagraphFont"/>
    <w:uiPriority w:val="22"/>
    <w:qFormat/>
    <w:rsid w:val="00165B94"/>
    <w:rPr>
      <w:rFonts w:cs="Times New Roman"/>
      <w:b/>
      <w:bCs/>
    </w:rPr>
  </w:style>
  <w:style w:type="paragraph" w:styleId="Header">
    <w:name w:val="header"/>
    <w:basedOn w:val="Normal"/>
    <w:link w:val="HeaderChar"/>
    <w:uiPriority w:val="99"/>
    <w:unhideWhenUsed/>
    <w:rsid w:val="00E939C0"/>
    <w:pPr>
      <w:tabs>
        <w:tab w:val="center" w:pos="4252"/>
        <w:tab w:val="right" w:pos="8504"/>
      </w:tabs>
      <w:spacing w:after="0" w:line="240" w:lineRule="auto"/>
    </w:pPr>
  </w:style>
  <w:style w:type="character" w:customStyle="1" w:styleId="HeaderChar">
    <w:name w:val="Header Char"/>
    <w:basedOn w:val="DefaultParagraphFont"/>
    <w:link w:val="Header"/>
    <w:uiPriority w:val="99"/>
    <w:rsid w:val="00E939C0"/>
    <w:rPr>
      <w:rFonts w:ascii="Calibri" w:eastAsia="Calibri" w:hAnsi="Calibri" w:cs="Times New Roman"/>
    </w:rPr>
  </w:style>
  <w:style w:type="paragraph" w:styleId="Footer">
    <w:name w:val="footer"/>
    <w:basedOn w:val="Normal"/>
    <w:link w:val="FooterChar"/>
    <w:uiPriority w:val="99"/>
    <w:unhideWhenUsed/>
    <w:rsid w:val="00E939C0"/>
    <w:pPr>
      <w:tabs>
        <w:tab w:val="center" w:pos="4252"/>
        <w:tab w:val="right" w:pos="8504"/>
      </w:tabs>
      <w:spacing w:after="0" w:line="240" w:lineRule="auto"/>
    </w:pPr>
  </w:style>
  <w:style w:type="character" w:customStyle="1" w:styleId="FooterChar">
    <w:name w:val="Footer Char"/>
    <w:basedOn w:val="DefaultParagraphFont"/>
    <w:link w:val="Footer"/>
    <w:uiPriority w:val="99"/>
    <w:rsid w:val="00E939C0"/>
    <w:rPr>
      <w:rFonts w:ascii="Calibri" w:eastAsia="Calibri" w:hAnsi="Calibri" w:cs="Times New Roman"/>
    </w:rPr>
  </w:style>
  <w:style w:type="paragraph" w:styleId="BalloonText">
    <w:name w:val="Balloon Text"/>
    <w:basedOn w:val="Normal"/>
    <w:link w:val="BalloonTextChar"/>
    <w:uiPriority w:val="99"/>
    <w:semiHidden/>
    <w:unhideWhenUsed/>
    <w:rsid w:val="004B7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FE1"/>
    <w:rPr>
      <w:rFonts w:ascii="Tahoma" w:eastAsia="Calibri" w:hAnsi="Tahoma" w:cs="Tahoma"/>
      <w:sz w:val="16"/>
      <w:szCs w:val="16"/>
    </w:rPr>
  </w:style>
  <w:style w:type="character" w:customStyle="1" w:styleId="Heading2Char">
    <w:name w:val="Heading 2 Char"/>
    <w:basedOn w:val="DefaultParagraphFont"/>
    <w:link w:val="Heading2"/>
    <w:uiPriority w:val="9"/>
    <w:rsid w:val="001F0C18"/>
    <w:rPr>
      <w:rFonts w:ascii="Times New Roman" w:eastAsia="Times New Roman" w:hAnsi="Times New Roman" w:cs="Times New Roman"/>
      <w:b/>
      <w:bCs/>
      <w:sz w:val="36"/>
      <w:szCs w:val="36"/>
      <w:lang w:eastAsia="es-ES"/>
    </w:rPr>
  </w:style>
  <w:style w:type="character" w:customStyle="1" w:styleId="titulo">
    <w:name w:val="titulo"/>
    <w:basedOn w:val="DefaultParagraphFont"/>
    <w:rsid w:val="001F0C18"/>
  </w:style>
  <w:style w:type="character" w:customStyle="1" w:styleId="subtitulo">
    <w:name w:val="subtitulo"/>
    <w:basedOn w:val="DefaultParagraphFont"/>
    <w:rsid w:val="001F0C18"/>
  </w:style>
  <w:style w:type="character" w:styleId="Hyperlink">
    <w:name w:val="Hyperlink"/>
    <w:basedOn w:val="DefaultParagraphFont"/>
    <w:uiPriority w:val="99"/>
    <w:semiHidden/>
    <w:unhideWhenUsed/>
    <w:rsid w:val="001F0C18"/>
    <w:rPr>
      <w:color w:val="0000FF"/>
      <w:u w:val="single"/>
    </w:rPr>
  </w:style>
  <w:style w:type="character" w:styleId="HTMLAcronym">
    <w:name w:val="HTML Acronym"/>
    <w:basedOn w:val="DefaultParagraphFont"/>
    <w:uiPriority w:val="99"/>
    <w:semiHidden/>
    <w:unhideWhenUsed/>
    <w:rsid w:val="001F0C18"/>
  </w:style>
</w:styles>
</file>

<file path=word/webSettings.xml><?xml version="1.0" encoding="utf-8"?>
<w:webSettings xmlns:r="http://schemas.openxmlformats.org/officeDocument/2006/relationships" xmlns:w="http://schemas.openxmlformats.org/wordprocessingml/2006/main">
  <w:divs>
    <w:div w:id="105274517">
      <w:bodyDiv w:val="1"/>
      <w:marLeft w:val="0"/>
      <w:marRight w:val="0"/>
      <w:marTop w:val="0"/>
      <w:marBottom w:val="0"/>
      <w:divBdr>
        <w:top w:val="none" w:sz="0" w:space="0" w:color="auto"/>
        <w:left w:val="none" w:sz="0" w:space="0" w:color="auto"/>
        <w:bottom w:val="none" w:sz="0" w:space="0" w:color="auto"/>
        <w:right w:val="none" w:sz="0" w:space="0" w:color="auto"/>
      </w:divBdr>
    </w:div>
    <w:div w:id="113716399">
      <w:bodyDiv w:val="1"/>
      <w:marLeft w:val="0"/>
      <w:marRight w:val="0"/>
      <w:marTop w:val="0"/>
      <w:marBottom w:val="0"/>
      <w:divBdr>
        <w:top w:val="none" w:sz="0" w:space="0" w:color="auto"/>
        <w:left w:val="none" w:sz="0" w:space="0" w:color="auto"/>
        <w:bottom w:val="none" w:sz="0" w:space="0" w:color="auto"/>
        <w:right w:val="none" w:sz="0" w:space="0" w:color="auto"/>
      </w:divBdr>
    </w:div>
    <w:div w:id="485436718">
      <w:bodyDiv w:val="1"/>
      <w:marLeft w:val="0"/>
      <w:marRight w:val="0"/>
      <w:marTop w:val="0"/>
      <w:marBottom w:val="0"/>
      <w:divBdr>
        <w:top w:val="none" w:sz="0" w:space="0" w:color="auto"/>
        <w:left w:val="none" w:sz="0" w:space="0" w:color="auto"/>
        <w:bottom w:val="none" w:sz="0" w:space="0" w:color="auto"/>
        <w:right w:val="none" w:sz="0" w:space="0" w:color="auto"/>
      </w:divBdr>
    </w:div>
    <w:div w:id="514654320">
      <w:bodyDiv w:val="1"/>
      <w:marLeft w:val="0"/>
      <w:marRight w:val="0"/>
      <w:marTop w:val="0"/>
      <w:marBottom w:val="0"/>
      <w:divBdr>
        <w:top w:val="none" w:sz="0" w:space="0" w:color="auto"/>
        <w:left w:val="none" w:sz="0" w:space="0" w:color="auto"/>
        <w:bottom w:val="none" w:sz="0" w:space="0" w:color="auto"/>
        <w:right w:val="none" w:sz="0" w:space="0" w:color="auto"/>
      </w:divBdr>
    </w:div>
    <w:div w:id="730006669">
      <w:bodyDiv w:val="1"/>
      <w:marLeft w:val="0"/>
      <w:marRight w:val="0"/>
      <w:marTop w:val="0"/>
      <w:marBottom w:val="0"/>
      <w:divBdr>
        <w:top w:val="none" w:sz="0" w:space="0" w:color="auto"/>
        <w:left w:val="none" w:sz="0" w:space="0" w:color="auto"/>
        <w:bottom w:val="none" w:sz="0" w:space="0" w:color="auto"/>
        <w:right w:val="none" w:sz="0" w:space="0" w:color="auto"/>
      </w:divBdr>
    </w:div>
    <w:div w:id="820851196">
      <w:bodyDiv w:val="1"/>
      <w:marLeft w:val="0"/>
      <w:marRight w:val="0"/>
      <w:marTop w:val="0"/>
      <w:marBottom w:val="0"/>
      <w:divBdr>
        <w:top w:val="none" w:sz="0" w:space="0" w:color="auto"/>
        <w:left w:val="none" w:sz="0" w:space="0" w:color="auto"/>
        <w:bottom w:val="none" w:sz="0" w:space="0" w:color="auto"/>
        <w:right w:val="none" w:sz="0" w:space="0" w:color="auto"/>
      </w:divBdr>
    </w:div>
    <w:div w:id="851992893">
      <w:bodyDiv w:val="1"/>
      <w:marLeft w:val="0"/>
      <w:marRight w:val="0"/>
      <w:marTop w:val="0"/>
      <w:marBottom w:val="0"/>
      <w:divBdr>
        <w:top w:val="none" w:sz="0" w:space="0" w:color="auto"/>
        <w:left w:val="none" w:sz="0" w:space="0" w:color="auto"/>
        <w:bottom w:val="none" w:sz="0" w:space="0" w:color="auto"/>
        <w:right w:val="none" w:sz="0" w:space="0" w:color="auto"/>
      </w:divBdr>
    </w:div>
    <w:div w:id="889919962">
      <w:bodyDiv w:val="1"/>
      <w:marLeft w:val="0"/>
      <w:marRight w:val="0"/>
      <w:marTop w:val="0"/>
      <w:marBottom w:val="0"/>
      <w:divBdr>
        <w:top w:val="none" w:sz="0" w:space="0" w:color="auto"/>
        <w:left w:val="none" w:sz="0" w:space="0" w:color="auto"/>
        <w:bottom w:val="none" w:sz="0" w:space="0" w:color="auto"/>
        <w:right w:val="none" w:sz="0" w:space="0" w:color="auto"/>
      </w:divBdr>
    </w:div>
    <w:div w:id="992950420">
      <w:bodyDiv w:val="1"/>
      <w:marLeft w:val="0"/>
      <w:marRight w:val="0"/>
      <w:marTop w:val="0"/>
      <w:marBottom w:val="0"/>
      <w:divBdr>
        <w:top w:val="none" w:sz="0" w:space="0" w:color="auto"/>
        <w:left w:val="none" w:sz="0" w:space="0" w:color="auto"/>
        <w:bottom w:val="none" w:sz="0" w:space="0" w:color="auto"/>
        <w:right w:val="none" w:sz="0" w:space="0" w:color="auto"/>
      </w:divBdr>
    </w:div>
    <w:div w:id="1105534306">
      <w:bodyDiv w:val="1"/>
      <w:marLeft w:val="0"/>
      <w:marRight w:val="0"/>
      <w:marTop w:val="0"/>
      <w:marBottom w:val="0"/>
      <w:divBdr>
        <w:top w:val="none" w:sz="0" w:space="0" w:color="auto"/>
        <w:left w:val="none" w:sz="0" w:space="0" w:color="auto"/>
        <w:bottom w:val="none" w:sz="0" w:space="0" w:color="auto"/>
        <w:right w:val="none" w:sz="0" w:space="0" w:color="auto"/>
      </w:divBdr>
    </w:div>
    <w:div w:id="1217014369">
      <w:bodyDiv w:val="1"/>
      <w:marLeft w:val="0"/>
      <w:marRight w:val="0"/>
      <w:marTop w:val="0"/>
      <w:marBottom w:val="0"/>
      <w:divBdr>
        <w:top w:val="none" w:sz="0" w:space="0" w:color="auto"/>
        <w:left w:val="none" w:sz="0" w:space="0" w:color="auto"/>
        <w:bottom w:val="none" w:sz="0" w:space="0" w:color="auto"/>
        <w:right w:val="none" w:sz="0" w:space="0" w:color="auto"/>
      </w:divBdr>
    </w:div>
    <w:div w:id="1279263939">
      <w:bodyDiv w:val="1"/>
      <w:marLeft w:val="0"/>
      <w:marRight w:val="0"/>
      <w:marTop w:val="0"/>
      <w:marBottom w:val="0"/>
      <w:divBdr>
        <w:top w:val="none" w:sz="0" w:space="0" w:color="auto"/>
        <w:left w:val="none" w:sz="0" w:space="0" w:color="auto"/>
        <w:bottom w:val="none" w:sz="0" w:space="0" w:color="auto"/>
        <w:right w:val="none" w:sz="0" w:space="0" w:color="auto"/>
      </w:divBdr>
    </w:div>
    <w:div w:id="1714503215">
      <w:bodyDiv w:val="1"/>
      <w:marLeft w:val="0"/>
      <w:marRight w:val="0"/>
      <w:marTop w:val="0"/>
      <w:marBottom w:val="0"/>
      <w:divBdr>
        <w:top w:val="none" w:sz="0" w:space="0" w:color="auto"/>
        <w:left w:val="none" w:sz="0" w:space="0" w:color="auto"/>
        <w:bottom w:val="none" w:sz="0" w:space="0" w:color="auto"/>
        <w:right w:val="none" w:sz="0" w:space="0" w:color="auto"/>
      </w:divBdr>
      <w:divsChild>
        <w:div w:id="114956239">
          <w:marLeft w:val="0"/>
          <w:marRight w:val="0"/>
          <w:marTop w:val="0"/>
          <w:marBottom w:val="0"/>
          <w:divBdr>
            <w:top w:val="none" w:sz="0" w:space="0" w:color="auto"/>
            <w:left w:val="none" w:sz="0" w:space="0" w:color="auto"/>
            <w:bottom w:val="none" w:sz="0" w:space="0" w:color="auto"/>
            <w:right w:val="none" w:sz="0" w:space="0" w:color="auto"/>
          </w:divBdr>
          <w:divsChild>
            <w:div w:id="117989446">
              <w:marLeft w:val="0"/>
              <w:marRight w:val="0"/>
              <w:marTop w:val="0"/>
              <w:marBottom w:val="0"/>
              <w:divBdr>
                <w:top w:val="none" w:sz="0" w:space="0" w:color="auto"/>
                <w:left w:val="none" w:sz="0" w:space="0" w:color="auto"/>
                <w:bottom w:val="none" w:sz="0" w:space="0" w:color="auto"/>
                <w:right w:val="none" w:sz="0" w:space="0" w:color="auto"/>
              </w:divBdr>
              <w:divsChild>
                <w:div w:id="140469535">
                  <w:marLeft w:val="0"/>
                  <w:marRight w:val="0"/>
                  <w:marTop w:val="0"/>
                  <w:marBottom w:val="0"/>
                  <w:divBdr>
                    <w:top w:val="none" w:sz="0" w:space="0" w:color="auto"/>
                    <w:left w:val="none" w:sz="0" w:space="0" w:color="auto"/>
                    <w:bottom w:val="none" w:sz="0" w:space="0" w:color="auto"/>
                    <w:right w:val="none" w:sz="0" w:space="0" w:color="auto"/>
                  </w:divBdr>
                  <w:divsChild>
                    <w:div w:id="1516116520">
                      <w:marLeft w:val="0"/>
                      <w:marRight w:val="0"/>
                      <w:marTop w:val="0"/>
                      <w:marBottom w:val="0"/>
                      <w:divBdr>
                        <w:top w:val="none" w:sz="0" w:space="0" w:color="auto"/>
                        <w:left w:val="none" w:sz="0" w:space="0" w:color="auto"/>
                        <w:bottom w:val="none" w:sz="0" w:space="0" w:color="auto"/>
                        <w:right w:val="none" w:sz="0" w:space="0" w:color="auto"/>
                      </w:divBdr>
                      <w:divsChild>
                        <w:div w:id="4610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ECV2011\DATOS_MAYORES65\ilc_li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ES"/>
  <c:chart>
    <c:plotArea>
      <c:layout/>
      <c:barChart>
        <c:barDir val="col"/>
        <c:grouping val="clustered"/>
        <c:ser>
          <c:idx val="1"/>
          <c:order val="1"/>
          <c:tx>
            <c:strRef>
              <c:f>'IND &gt;65 y &gt;75'!$A$28:$B$28</c:f>
              <c:strCache>
                <c:ptCount val="1"/>
                <c:pt idx="0">
                  <c:v>65 years or over  Spain</c:v>
                </c:pt>
              </c:strCache>
            </c:strRef>
          </c:tx>
          <c:spPr>
            <a:solidFill>
              <a:schemeClr val="accent3">
                <a:lumMod val="60000"/>
                <a:lumOff val="40000"/>
              </a:schemeClr>
            </a:solidFill>
          </c:spPr>
          <c:dLbls>
            <c:txPr>
              <a:bodyPr/>
              <a:lstStyle/>
              <a:p>
                <a:pPr>
                  <a:defRPr sz="800"/>
                </a:pPr>
                <a:endParaRPr lang="es-ES"/>
              </a:p>
            </c:txPr>
            <c:dLblPos val="outEnd"/>
            <c:showVal val="1"/>
          </c:dLbls>
          <c:cat>
            <c:multiLvlStrRef>
              <c:f>'IND &gt;65 y &gt;75'!$C$25:$F$26</c:f>
              <c:multiLvlStrCache>
                <c:ptCount val="4"/>
                <c:lvl>
                  <c:pt idx="0">
                    <c:v>2005</c:v>
                  </c:pt>
                  <c:pt idx="1">
                    <c:v>2010</c:v>
                  </c:pt>
                  <c:pt idx="2">
                    <c:v>2005</c:v>
                  </c:pt>
                  <c:pt idx="3">
                    <c:v>2010</c:v>
                  </c:pt>
                </c:lvl>
                <c:lvl>
                  <c:pt idx="0">
                    <c:v>Males</c:v>
                  </c:pt>
                  <c:pt idx="1">
                    <c:v>Males</c:v>
                  </c:pt>
                  <c:pt idx="2">
                    <c:v>Females</c:v>
                  </c:pt>
                  <c:pt idx="3">
                    <c:v>Females</c:v>
                  </c:pt>
                </c:lvl>
              </c:multiLvlStrCache>
            </c:multiLvlStrRef>
          </c:cat>
          <c:val>
            <c:numRef>
              <c:f>'IND &gt;65 y &gt;75'!$C$28:$F$28</c:f>
              <c:numCache>
                <c:formatCode>#,##0.0</c:formatCode>
                <c:ptCount val="4"/>
                <c:pt idx="0">
                  <c:v>26.3</c:v>
                </c:pt>
                <c:pt idx="1">
                  <c:v>19.899999999999999</c:v>
                </c:pt>
                <c:pt idx="2">
                  <c:v>31.5</c:v>
                </c:pt>
                <c:pt idx="3">
                  <c:v>23.1</c:v>
                </c:pt>
              </c:numCache>
            </c:numRef>
          </c:val>
        </c:ser>
        <c:ser>
          <c:idx val="3"/>
          <c:order val="3"/>
          <c:tx>
            <c:strRef>
              <c:f>'IND &gt;65 y &gt;75'!$A$30:$B$30</c:f>
              <c:strCache>
                <c:ptCount val="1"/>
                <c:pt idx="0">
                  <c:v>75 years or over  Spain</c:v>
                </c:pt>
              </c:strCache>
            </c:strRef>
          </c:tx>
          <c:spPr>
            <a:solidFill>
              <a:schemeClr val="accent1"/>
            </a:solidFill>
          </c:spPr>
          <c:dLbls>
            <c:txPr>
              <a:bodyPr/>
              <a:lstStyle/>
              <a:p>
                <a:pPr>
                  <a:defRPr sz="800"/>
                </a:pPr>
                <a:endParaRPr lang="es-ES"/>
              </a:p>
            </c:txPr>
            <c:dLblPos val="outEnd"/>
            <c:showVal val="1"/>
          </c:dLbls>
          <c:cat>
            <c:multiLvlStrRef>
              <c:f>'IND &gt;65 y &gt;75'!$C$25:$F$26</c:f>
              <c:multiLvlStrCache>
                <c:ptCount val="4"/>
                <c:lvl>
                  <c:pt idx="0">
                    <c:v>2005</c:v>
                  </c:pt>
                  <c:pt idx="1">
                    <c:v>2010</c:v>
                  </c:pt>
                  <c:pt idx="2">
                    <c:v>2005</c:v>
                  </c:pt>
                  <c:pt idx="3">
                    <c:v>2010</c:v>
                  </c:pt>
                </c:lvl>
                <c:lvl>
                  <c:pt idx="0">
                    <c:v>Males</c:v>
                  </c:pt>
                  <c:pt idx="1">
                    <c:v>Males</c:v>
                  </c:pt>
                  <c:pt idx="2">
                    <c:v>Females</c:v>
                  </c:pt>
                  <c:pt idx="3">
                    <c:v>Females</c:v>
                  </c:pt>
                </c:lvl>
              </c:multiLvlStrCache>
            </c:multiLvlStrRef>
          </c:cat>
          <c:val>
            <c:numRef>
              <c:f>'IND &gt;65 y &gt;75'!$C$30:$F$30</c:f>
              <c:numCache>
                <c:formatCode>#,##0.0</c:formatCode>
                <c:ptCount val="4"/>
                <c:pt idx="0">
                  <c:v>31.1</c:v>
                </c:pt>
                <c:pt idx="1">
                  <c:v>21</c:v>
                </c:pt>
                <c:pt idx="2">
                  <c:v>33.4</c:v>
                </c:pt>
                <c:pt idx="3">
                  <c:v>25.5</c:v>
                </c:pt>
              </c:numCache>
            </c:numRef>
          </c:val>
        </c:ser>
        <c:axId val="74978048"/>
        <c:axId val="74982528"/>
      </c:barChart>
      <c:lineChart>
        <c:grouping val="standard"/>
        <c:ser>
          <c:idx val="0"/>
          <c:order val="0"/>
          <c:tx>
            <c:strRef>
              <c:f>'IND &gt;65 y &gt;75'!$A$27:$B$27</c:f>
              <c:strCache>
                <c:ptCount val="1"/>
                <c:pt idx="0">
                  <c:v>65 years or over  EU27</c:v>
                </c:pt>
              </c:strCache>
            </c:strRef>
          </c:tx>
          <c:spPr>
            <a:ln>
              <a:solidFill>
                <a:schemeClr val="accent3">
                  <a:lumMod val="75000"/>
                </a:schemeClr>
              </a:solidFill>
            </a:ln>
          </c:spPr>
          <c:marker>
            <c:spPr>
              <a:solidFill>
                <a:schemeClr val="accent3">
                  <a:lumMod val="75000"/>
                </a:schemeClr>
              </a:solidFill>
            </c:spPr>
          </c:marker>
          <c:cat>
            <c:multiLvlStrRef>
              <c:f>'IND &gt;65 y &gt;75'!$C$25:$F$26</c:f>
              <c:multiLvlStrCache>
                <c:ptCount val="4"/>
                <c:lvl>
                  <c:pt idx="0">
                    <c:v>2005</c:v>
                  </c:pt>
                  <c:pt idx="1">
                    <c:v>2010</c:v>
                  </c:pt>
                  <c:pt idx="2">
                    <c:v>2005</c:v>
                  </c:pt>
                  <c:pt idx="3">
                    <c:v>2010</c:v>
                  </c:pt>
                </c:lvl>
                <c:lvl>
                  <c:pt idx="0">
                    <c:v>Males</c:v>
                  </c:pt>
                  <c:pt idx="1">
                    <c:v>Males</c:v>
                  </c:pt>
                  <c:pt idx="2">
                    <c:v>Females</c:v>
                  </c:pt>
                  <c:pt idx="3">
                    <c:v>Females</c:v>
                  </c:pt>
                </c:lvl>
              </c:multiLvlStrCache>
            </c:multiLvlStrRef>
          </c:cat>
          <c:val>
            <c:numRef>
              <c:f>'IND &gt;65 y &gt;75'!$C$27:$F$27</c:f>
              <c:numCache>
                <c:formatCode>#,##0.0</c:formatCode>
                <c:ptCount val="4"/>
                <c:pt idx="0">
                  <c:v>15.9</c:v>
                </c:pt>
                <c:pt idx="1">
                  <c:v>13</c:v>
                </c:pt>
                <c:pt idx="2">
                  <c:v>21.1</c:v>
                </c:pt>
                <c:pt idx="3">
                  <c:v>18.3</c:v>
                </c:pt>
              </c:numCache>
            </c:numRef>
          </c:val>
        </c:ser>
        <c:ser>
          <c:idx val="2"/>
          <c:order val="2"/>
          <c:tx>
            <c:strRef>
              <c:f>'IND &gt;65 y &gt;75'!$A$29:$B$29</c:f>
              <c:strCache>
                <c:ptCount val="1"/>
                <c:pt idx="0">
                  <c:v>75 years or over  EU27</c:v>
                </c:pt>
              </c:strCache>
            </c:strRef>
          </c:tx>
          <c:spPr>
            <a:ln>
              <a:solidFill>
                <a:schemeClr val="tx2">
                  <a:lumMod val="75000"/>
                </a:schemeClr>
              </a:solidFill>
            </a:ln>
          </c:spPr>
          <c:marker>
            <c:spPr>
              <a:solidFill>
                <a:schemeClr val="tx2">
                  <a:lumMod val="75000"/>
                </a:schemeClr>
              </a:solidFill>
            </c:spPr>
          </c:marker>
          <c:cat>
            <c:multiLvlStrRef>
              <c:f>'IND &gt;65 y &gt;75'!$C$25:$F$26</c:f>
              <c:multiLvlStrCache>
                <c:ptCount val="4"/>
                <c:lvl>
                  <c:pt idx="0">
                    <c:v>2005</c:v>
                  </c:pt>
                  <c:pt idx="1">
                    <c:v>2010</c:v>
                  </c:pt>
                  <c:pt idx="2">
                    <c:v>2005</c:v>
                  </c:pt>
                  <c:pt idx="3">
                    <c:v>2010</c:v>
                  </c:pt>
                </c:lvl>
                <c:lvl>
                  <c:pt idx="0">
                    <c:v>Males</c:v>
                  </c:pt>
                  <c:pt idx="1">
                    <c:v>Males</c:v>
                  </c:pt>
                  <c:pt idx="2">
                    <c:v>Females</c:v>
                  </c:pt>
                  <c:pt idx="3">
                    <c:v>Females</c:v>
                  </c:pt>
                </c:lvl>
              </c:multiLvlStrCache>
            </c:multiLvlStrRef>
          </c:cat>
          <c:val>
            <c:numRef>
              <c:f>'IND &gt;65 y &gt;75'!$C$29:$F$29</c:f>
              <c:numCache>
                <c:formatCode>#,##0.0</c:formatCode>
                <c:ptCount val="4"/>
                <c:pt idx="0">
                  <c:v>18.7</c:v>
                </c:pt>
                <c:pt idx="1">
                  <c:v>14.5</c:v>
                </c:pt>
                <c:pt idx="2">
                  <c:v>23.6</c:v>
                </c:pt>
                <c:pt idx="3">
                  <c:v>20.7</c:v>
                </c:pt>
              </c:numCache>
            </c:numRef>
          </c:val>
        </c:ser>
        <c:marker val="1"/>
        <c:axId val="74978048"/>
        <c:axId val="74982528"/>
      </c:lineChart>
      <c:catAx>
        <c:axId val="74978048"/>
        <c:scaling>
          <c:orientation val="minMax"/>
        </c:scaling>
        <c:axPos val="b"/>
        <c:tickLblPos val="nextTo"/>
        <c:crossAx val="74982528"/>
        <c:crosses val="autoZero"/>
        <c:auto val="1"/>
        <c:lblAlgn val="ctr"/>
        <c:lblOffset val="100"/>
      </c:catAx>
      <c:valAx>
        <c:axId val="74982528"/>
        <c:scaling>
          <c:orientation val="minMax"/>
        </c:scaling>
        <c:axPos val="l"/>
        <c:numFmt formatCode="#,##0.0" sourceLinked="1"/>
        <c:tickLblPos val="nextTo"/>
        <c:crossAx val="74978048"/>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4EA53-E338-47F9-8983-CF6E2F52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856</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Rey Juan Carlos</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sonia.depaz</dc:creator>
  <cp:lastModifiedBy>López de Paz</cp:lastModifiedBy>
  <cp:revision>40</cp:revision>
  <dcterms:created xsi:type="dcterms:W3CDTF">2012-11-11T20:59:00Z</dcterms:created>
  <dcterms:modified xsi:type="dcterms:W3CDTF">2012-11-14T08:56:00Z</dcterms:modified>
</cp:coreProperties>
</file>